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60" w:lineRule="auto"/>
        <w:ind w:firstLine="1687" w:firstLineChars="200"/>
        <w:rPr>
          <w:rFonts w:hAnsi="宋体"/>
          <w:b/>
          <w:sz w:val="84"/>
        </w:rPr>
      </w:pPr>
    </w:p>
    <w:p>
      <w:pPr>
        <w:spacing w:line="360" w:lineRule="auto"/>
        <w:rPr>
          <w:rFonts w:ascii="宋体"/>
          <w:b/>
          <w:bCs/>
          <w:sz w:val="84"/>
        </w:rPr>
      </w:pPr>
    </w:p>
    <w:p>
      <w:pPr>
        <w:spacing w:line="360" w:lineRule="auto"/>
        <w:jc w:val="center"/>
        <w:rPr>
          <w:rFonts w:ascii="宋体"/>
          <w:b/>
          <w:bCs/>
          <w:sz w:val="84"/>
        </w:rPr>
      </w:pPr>
      <w:r>
        <w:rPr>
          <w:rFonts w:hint="eastAsia" w:ascii="宋体" w:hAnsi="宋体"/>
          <w:b/>
          <w:bCs/>
          <w:sz w:val="84"/>
        </w:rPr>
        <w:t>询</w:t>
      </w:r>
      <w:r>
        <w:rPr>
          <w:rFonts w:ascii="宋体" w:hAnsi="宋体"/>
          <w:b/>
          <w:bCs/>
          <w:sz w:val="84"/>
        </w:rPr>
        <w:t xml:space="preserve"> </w:t>
      </w:r>
      <w:r>
        <w:rPr>
          <w:rFonts w:hint="eastAsia" w:ascii="宋体" w:hAnsi="宋体"/>
          <w:b/>
          <w:bCs/>
          <w:sz w:val="84"/>
        </w:rPr>
        <w:t>价</w:t>
      </w:r>
      <w:r>
        <w:rPr>
          <w:rFonts w:ascii="宋体" w:hAnsi="宋体"/>
          <w:b/>
          <w:bCs/>
          <w:sz w:val="84"/>
        </w:rPr>
        <w:t xml:space="preserve"> </w:t>
      </w:r>
      <w:r>
        <w:rPr>
          <w:rFonts w:hint="eastAsia" w:ascii="宋体" w:hAnsi="宋体"/>
          <w:b/>
          <w:bCs/>
          <w:sz w:val="84"/>
        </w:rPr>
        <w:t>通</w:t>
      </w:r>
      <w:r>
        <w:rPr>
          <w:rFonts w:ascii="宋体" w:hAnsi="宋体"/>
          <w:b/>
          <w:bCs/>
          <w:sz w:val="84"/>
        </w:rPr>
        <w:t xml:space="preserve"> </w:t>
      </w:r>
      <w:r>
        <w:rPr>
          <w:rFonts w:hint="eastAsia" w:ascii="宋体" w:hAnsi="宋体"/>
          <w:b/>
          <w:bCs/>
          <w:sz w:val="84"/>
        </w:rPr>
        <w:t>知</w:t>
      </w:r>
      <w:r>
        <w:rPr>
          <w:rFonts w:ascii="宋体" w:hAnsi="宋体"/>
          <w:b/>
          <w:bCs/>
          <w:sz w:val="84"/>
        </w:rPr>
        <w:t xml:space="preserve"> </w:t>
      </w:r>
      <w:r>
        <w:rPr>
          <w:rFonts w:hint="eastAsia" w:ascii="宋体" w:hAnsi="宋体"/>
          <w:b/>
          <w:bCs/>
          <w:sz w:val="84"/>
        </w:rPr>
        <w:t>书</w:t>
      </w:r>
    </w:p>
    <w:p>
      <w:pPr>
        <w:pStyle w:val="17"/>
        <w:spacing w:line="360" w:lineRule="auto"/>
        <w:ind w:firstLine="883" w:firstLineChars="200"/>
        <w:jc w:val="center"/>
        <w:rPr>
          <w:rFonts w:hAnsi="宋体"/>
          <w:b/>
          <w:sz w:val="44"/>
        </w:rPr>
      </w:pPr>
    </w:p>
    <w:p>
      <w:pPr>
        <w:pStyle w:val="17"/>
        <w:spacing w:line="360" w:lineRule="auto"/>
        <w:ind w:firstLine="643" w:firstLineChars="200"/>
        <w:rPr>
          <w:rFonts w:hAnsi="宋体"/>
          <w:b/>
          <w:bCs/>
          <w:sz w:val="32"/>
        </w:rPr>
      </w:pPr>
    </w:p>
    <w:p>
      <w:pPr>
        <w:pStyle w:val="17"/>
        <w:spacing w:line="360" w:lineRule="auto"/>
        <w:ind w:firstLine="643" w:firstLineChars="200"/>
        <w:rPr>
          <w:rFonts w:hAnsi="宋体"/>
          <w:b/>
          <w:bCs/>
          <w:sz w:val="32"/>
        </w:rPr>
      </w:pPr>
    </w:p>
    <w:p>
      <w:pPr>
        <w:spacing w:line="560" w:lineRule="exact"/>
        <w:ind w:firstLine="640" w:firstLineChars="200"/>
        <w:rPr>
          <w:rFonts w:hint="eastAsia" w:ascii="宋体" w:eastAsia="宋体" w:cs="宋体"/>
          <w:bCs/>
          <w:sz w:val="32"/>
          <w:szCs w:val="20"/>
          <w:lang w:val="en-US" w:eastAsia="zh-CN"/>
        </w:rPr>
      </w:pPr>
      <w:r>
        <w:rPr>
          <w:rFonts w:hint="eastAsia" w:hAnsi="宋体"/>
          <w:bCs/>
          <w:sz w:val="32"/>
        </w:rPr>
        <w:t>采购编号</w:t>
      </w:r>
      <w:r>
        <w:rPr>
          <w:rFonts w:hint="eastAsia" w:hAnsi="宋体"/>
          <w:bCs/>
          <w:sz w:val="32"/>
          <w:szCs w:val="32"/>
        </w:rPr>
        <w:t>：</w:t>
      </w:r>
      <w:r>
        <w:rPr>
          <w:rFonts w:hint="eastAsia" w:hAnsi="宋体"/>
          <w:bCs/>
          <w:sz w:val="32"/>
          <w:szCs w:val="32"/>
          <w:lang w:eastAsia="zh-CN"/>
        </w:rPr>
        <w:t>CFZJZX招〔2022）-244</w:t>
      </w:r>
    </w:p>
    <w:p>
      <w:pPr>
        <w:pStyle w:val="17"/>
        <w:spacing w:line="360" w:lineRule="auto"/>
        <w:ind w:left="638" w:leftChars="304"/>
        <w:rPr>
          <w:rFonts w:hint="eastAsia" w:hAnsi="宋体"/>
          <w:bCs/>
          <w:sz w:val="32"/>
        </w:rPr>
      </w:pPr>
    </w:p>
    <w:p>
      <w:pPr>
        <w:pStyle w:val="17"/>
        <w:spacing w:line="360" w:lineRule="auto"/>
        <w:ind w:left="638" w:leftChars="304"/>
        <w:rPr>
          <w:rFonts w:hint="eastAsia" w:hAnsi="宋体" w:eastAsia="宋体"/>
          <w:bCs/>
          <w:color w:val="00B050"/>
          <w:sz w:val="32"/>
          <w:lang w:eastAsia="zh-CN"/>
        </w:rPr>
      </w:pPr>
      <w:r>
        <w:rPr>
          <w:rFonts w:hint="eastAsia" w:hAnsi="宋体"/>
          <w:bCs/>
          <w:sz w:val="32"/>
        </w:rPr>
        <w:t>项目名称：</w:t>
      </w:r>
      <w:r>
        <w:rPr>
          <w:rFonts w:hint="eastAsia" w:hAnsi="宋体"/>
          <w:bCs/>
          <w:sz w:val="32"/>
          <w:lang w:eastAsia="zh-CN"/>
        </w:rPr>
        <w:t>龙岩智发科技智能化设备采购（二）</w:t>
      </w:r>
    </w:p>
    <w:p>
      <w:pPr>
        <w:pStyle w:val="17"/>
        <w:spacing w:line="360" w:lineRule="auto"/>
        <w:ind w:firstLine="640" w:firstLineChars="200"/>
        <w:rPr>
          <w:rFonts w:hint="eastAsia" w:hAnsi="宋体"/>
          <w:bCs/>
          <w:sz w:val="32"/>
        </w:rPr>
      </w:pPr>
    </w:p>
    <w:p>
      <w:pPr>
        <w:pStyle w:val="17"/>
        <w:spacing w:line="360" w:lineRule="auto"/>
        <w:ind w:firstLine="640" w:firstLineChars="200"/>
        <w:rPr>
          <w:rFonts w:hint="eastAsia" w:hAnsi="宋体" w:eastAsia="宋体"/>
          <w:bCs/>
          <w:sz w:val="32"/>
          <w:lang w:eastAsia="zh-CN"/>
        </w:rPr>
      </w:pPr>
      <w:r>
        <w:rPr>
          <w:rFonts w:hint="eastAsia" w:hAnsi="宋体"/>
          <w:bCs/>
          <w:sz w:val="32"/>
        </w:rPr>
        <w:t>采</w:t>
      </w:r>
      <w:r>
        <w:rPr>
          <w:rFonts w:hAnsi="宋体"/>
          <w:bCs/>
          <w:sz w:val="32"/>
        </w:rPr>
        <w:t xml:space="preserve"> </w:t>
      </w:r>
      <w:r>
        <w:rPr>
          <w:rFonts w:hint="eastAsia" w:hAnsi="宋体"/>
          <w:bCs/>
          <w:sz w:val="32"/>
        </w:rPr>
        <w:t>购</w:t>
      </w:r>
      <w:r>
        <w:rPr>
          <w:rFonts w:hAnsi="宋体"/>
          <w:bCs/>
          <w:sz w:val="32"/>
        </w:rPr>
        <w:t xml:space="preserve"> </w:t>
      </w:r>
      <w:r>
        <w:rPr>
          <w:rFonts w:hint="eastAsia" w:hAnsi="宋体"/>
          <w:bCs/>
          <w:sz w:val="32"/>
        </w:rPr>
        <w:t>人：</w:t>
      </w:r>
      <w:r>
        <w:rPr>
          <w:rFonts w:hint="eastAsia" w:hAnsi="宋体"/>
          <w:bCs/>
          <w:sz w:val="32"/>
          <w:lang w:eastAsia="zh-CN"/>
        </w:rPr>
        <w:t xml:space="preserve">龙岩智发科技有限责任公司 </w:t>
      </w:r>
    </w:p>
    <w:p>
      <w:pPr>
        <w:pStyle w:val="17"/>
        <w:spacing w:line="360" w:lineRule="auto"/>
        <w:ind w:firstLine="640" w:firstLineChars="200"/>
        <w:rPr>
          <w:rFonts w:hAnsi="宋体"/>
          <w:bCs/>
          <w:sz w:val="32"/>
        </w:rPr>
      </w:pPr>
    </w:p>
    <w:p>
      <w:pPr>
        <w:pStyle w:val="17"/>
        <w:spacing w:line="360" w:lineRule="auto"/>
        <w:ind w:firstLine="1767" w:firstLineChars="550"/>
        <w:jc w:val="left"/>
        <w:rPr>
          <w:rFonts w:hAnsi="宋体"/>
          <w:b/>
          <w:bCs/>
          <w:sz w:val="32"/>
        </w:rPr>
      </w:pPr>
    </w:p>
    <w:p>
      <w:pPr>
        <w:pStyle w:val="17"/>
        <w:spacing w:line="360" w:lineRule="auto"/>
        <w:ind w:firstLine="1767" w:firstLineChars="550"/>
        <w:jc w:val="left"/>
        <w:rPr>
          <w:rFonts w:hAnsi="宋体"/>
          <w:b/>
          <w:bCs/>
          <w:sz w:val="32"/>
        </w:rPr>
      </w:pPr>
    </w:p>
    <w:p>
      <w:pPr>
        <w:pStyle w:val="17"/>
        <w:spacing w:line="360" w:lineRule="auto"/>
        <w:ind w:firstLine="1767" w:firstLineChars="550"/>
        <w:jc w:val="left"/>
        <w:rPr>
          <w:rFonts w:hAnsi="宋体"/>
          <w:b/>
          <w:bCs/>
          <w:sz w:val="32"/>
        </w:rPr>
      </w:pPr>
    </w:p>
    <w:p>
      <w:pPr>
        <w:pStyle w:val="17"/>
        <w:spacing w:line="360" w:lineRule="auto"/>
        <w:jc w:val="center"/>
        <w:rPr>
          <w:rFonts w:hint="eastAsia" w:hAnsi="宋体" w:eastAsia="宋体"/>
          <w:b/>
          <w:sz w:val="28"/>
          <w:lang w:eastAsia="zh-CN"/>
        </w:rPr>
      </w:pPr>
      <w:r>
        <w:rPr>
          <w:rFonts w:hint="eastAsia" w:hAnsi="宋体"/>
          <w:b/>
          <w:bCs/>
          <w:sz w:val="32"/>
          <w:lang w:eastAsia="zh-CN"/>
        </w:rPr>
        <w:t>龙岩城发工程造价咨询服务有限公司</w:t>
      </w:r>
    </w:p>
    <w:p>
      <w:pPr>
        <w:pStyle w:val="17"/>
        <w:spacing w:line="360" w:lineRule="auto"/>
        <w:jc w:val="center"/>
        <w:rPr>
          <w:rFonts w:hAnsi="宋体"/>
          <w:b/>
          <w:bCs/>
          <w:sz w:val="32"/>
        </w:rPr>
      </w:pPr>
      <w:bookmarkStart w:id="0" w:name="_Toc25852"/>
      <w:r>
        <w:rPr>
          <w:rFonts w:hAnsi="宋体"/>
          <w:b/>
          <w:bCs/>
          <w:sz w:val="32"/>
        </w:rPr>
        <w:t>202</w:t>
      </w:r>
      <w:r>
        <w:rPr>
          <w:rFonts w:hint="eastAsia" w:hAnsi="宋体"/>
          <w:b/>
          <w:bCs/>
          <w:sz w:val="32"/>
          <w:lang w:val="en-US" w:eastAsia="zh-CN"/>
        </w:rPr>
        <w:t>2</w:t>
      </w:r>
      <w:r>
        <w:rPr>
          <w:rFonts w:hint="eastAsia" w:hAnsi="宋体"/>
          <w:b/>
          <w:bCs/>
          <w:sz w:val="32"/>
        </w:rPr>
        <w:t>年</w:t>
      </w:r>
      <w:r>
        <w:rPr>
          <w:rFonts w:hint="eastAsia" w:hAnsi="宋体"/>
          <w:b/>
          <w:bCs/>
          <w:sz w:val="32"/>
          <w:lang w:val="en-US" w:eastAsia="zh-CN"/>
        </w:rPr>
        <w:t>11</w:t>
      </w:r>
      <w:r>
        <w:rPr>
          <w:rFonts w:hint="eastAsia" w:hAnsi="宋体"/>
          <w:b/>
          <w:bCs/>
          <w:sz w:val="32"/>
        </w:rPr>
        <w:t>月</w:t>
      </w:r>
      <w:bookmarkEnd w:id="0"/>
    </w:p>
    <w:p>
      <w:pPr>
        <w:pStyle w:val="17"/>
        <w:spacing w:line="360" w:lineRule="auto"/>
        <w:ind w:firstLine="2249" w:firstLineChars="700"/>
        <w:jc w:val="center"/>
        <w:rPr>
          <w:rFonts w:hAnsi="宋体"/>
          <w:b/>
          <w:bCs/>
          <w:sz w:val="32"/>
        </w:rPr>
        <w:sectPr>
          <w:headerReference r:id="rId4" w:type="first"/>
          <w:footerReference r:id="rId7" w:type="first"/>
          <w:headerReference r:id="rId3" w:type="default"/>
          <w:footerReference r:id="rId5" w:type="default"/>
          <w:footerReference r:id="rId6" w:type="even"/>
          <w:pgSz w:w="11906" w:h="16838"/>
          <w:pgMar w:top="1134" w:right="1134" w:bottom="1134" w:left="1701" w:header="851" w:footer="992" w:gutter="0"/>
          <w:pgNumType w:start="0"/>
          <w:cols w:space="720" w:num="1"/>
          <w:titlePg/>
          <w:docGrid w:type="lines" w:linePitch="312" w:charSpace="0"/>
        </w:sectPr>
      </w:pPr>
    </w:p>
    <w:p>
      <w:pPr>
        <w:spacing w:line="360" w:lineRule="auto"/>
        <w:jc w:val="center"/>
        <w:rPr>
          <w:b/>
          <w:bCs/>
          <w:sz w:val="30"/>
          <w:szCs w:val="30"/>
        </w:rPr>
      </w:pPr>
      <w:r>
        <w:rPr>
          <w:rFonts w:hint="eastAsia" w:ascii="宋体" w:hAnsi="宋体"/>
          <w:b/>
          <w:bCs/>
          <w:sz w:val="30"/>
          <w:szCs w:val="30"/>
        </w:rPr>
        <w:t>目录</w:t>
      </w:r>
    </w:p>
    <w:p>
      <w:pPr>
        <w:pStyle w:val="23"/>
        <w:tabs>
          <w:tab w:val="right" w:leader="dot" w:pos="9071"/>
        </w:tabs>
        <w:rPr>
          <w:rFonts w:hint="eastAsia" w:eastAsia="宋体"/>
          <w:lang w:eastAsia="zh-CN"/>
        </w:rPr>
      </w:pPr>
      <w:r>
        <w:rPr>
          <w:rFonts w:ascii="宋体" w:hAnsi="宋体" w:cs="宋体"/>
          <w:sz w:val="24"/>
        </w:rPr>
        <w:fldChar w:fldCharType="begin"/>
      </w:r>
      <w:r>
        <w:rPr>
          <w:rFonts w:ascii="宋体" w:hAnsi="宋体" w:cs="宋体"/>
          <w:sz w:val="24"/>
        </w:rPr>
        <w:instrText xml:space="preserve">TOC \o "1-2" \h \u </w:instrText>
      </w:r>
      <w:r>
        <w:rPr>
          <w:rFonts w:ascii="宋体" w:hAnsi="宋体" w:cs="宋体"/>
          <w:sz w:val="24"/>
        </w:rPr>
        <w:fldChar w:fldCharType="separate"/>
      </w:r>
      <w:r>
        <w:rPr>
          <w:rFonts w:ascii="宋体" w:hAnsi="宋体" w:cs="宋体"/>
        </w:rPr>
        <w:fldChar w:fldCharType="begin"/>
      </w:r>
      <w:r>
        <w:rPr>
          <w:rFonts w:ascii="宋体" w:hAnsi="宋体" w:cs="宋体"/>
        </w:rPr>
        <w:instrText xml:space="preserve"> HYPERLINK \l _Toc3301 </w:instrText>
      </w:r>
      <w:r>
        <w:rPr>
          <w:rFonts w:ascii="宋体" w:hAnsi="宋体" w:cs="宋体"/>
        </w:rPr>
        <w:fldChar w:fldCharType="separate"/>
      </w:r>
      <w:r>
        <w:rPr>
          <w:rFonts w:hint="eastAsia"/>
        </w:rPr>
        <w:t>第一章</w:t>
      </w:r>
      <w:r>
        <w:t xml:space="preserve"> </w:t>
      </w:r>
      <w:r>
        <w:rPr>
          <w:rFonts w:hint="eastAsia"/>
        </w:rPr>
        <w:t>询价邀请</w:t>
      </w:r>
      <w:r>
        <w:tab/>
      </w:r>
      <w:r>
        <w:rPr>
          <w:rFonts w:ascii="宋体" w:hAnsi="宋体" w:cs="宋体"/>
        </w:rPr>
        <w:fldChar w:fldCharType="end"/>
      </w:r>
      <w:r>
        <w:rPr>
          <w:rFonts w:hint="eastAsia"/>
          <w:lang w:val="en-US" w:eastAsia="zh-CN"/>
        </w:rPr>
        <w:t>2</w:t>
      </w:r>
    </w:p>
    <w:p>
      <w:pPr>
        <w:pStyle w:val="23"/>
        <w:tabs>
          <w:tab w:val="right" w:leader="dot" w:pos="9071"/>
        </w:tabs>
        <w:rPr>
          <w:rFonts w:hint="default" w:eastAsia="宋体"/>
          <w:lang w:val="en-US" w:eastAsia="zh-CN"/>
        </w:rPr>
      </w:pPr>
      <w:r>
        <w:rPr>
          <w:rFonts w:ascii="宋体" w:hAnsi="宋体" w:cs="宋体"/>
        </w:rPr>
        <w:fldChar w:fldCharType="begin"/>
      </w:r>
      <w:r>
        <w:rPr>
          <w:rFonts w:ascii="宋体" w:hAnsi="宋体" w:cs="宋体"/>
        </w:rPr>
        <w:instrText xml:space="preserve"> HYPERLINK \l _Toc7462 </w:instrText>
      </w:r>
      <w:r>
        <w:rPr>
          <w:rFonts w:ascii="宋体" w:hAnsi="宋体" w:cs="宋体"/>
        </w:rPr>
        <w:fldChar w:fldCharType="separate"/>
      </w:r>
      <w:r>
        <w:rPr>
          <w:rFonts w:hint="eastAsia"/>
        </w:rPr>
        <w:t>第二章</w:t>
      </w:r>
      <w:r>
        <w:t xml:space="preserve">  </w:t>
      </w:r>
      <w:r>
        <w:rPr>
          <w:rFonts w:hint="eastAsia"/>
        </w:rPr>
        <w:t>询价供应商须知</w:t>
      </w:r>
      <w:r>
        <w:tab/>
      </w:r>
      <w:r>
        <w:rPr>
          <w:rFonts w:ascii="宋体" w:hAnsi="宋体" w:cs="宋体"/>
        </w:rPr>
        <w:fldChar w:fldCharType="end"/>
      </w:r>
      <w:r>
        <w:rPr>
          <w:rFonts w:hint="eastAsia"/>
          <w:lang w:val="en-US" w:eastAsia="zh-CN"/>
        </w:rPr>
        <w:t>18</w:t>
      </w:r>
    </w:p>
    <w:p>
      <w:pPr>
        <w:pStyle w:val="23"/>
        <w:tabs>
          <w:tab w:val="right" w:leader="dot" w:pos="9071"/>
        </w:tabs>
        <w:rPr>
          <w:rFonts w:hint="default" w:eastAsia="宋体"/>
          <w:lang w:val="en-US" w:eastAsia="zh-CN"/>
        </w:rPr>
      </w:pPr>
      <w:r>
        <w:rPr>
          <w:rFonts w:ascii="宋体" w:hAnsi="宋体" w:cs="宋体"/>
        </w:rPr>
        <w:fldChar w:fldCharType="begin"/>
      </w:r>
      <w:r>
        <w:rPr>
          <w:rFonts w:ascii="宋体" w:hAnsi="宋体" w:cs="宋体"/>
        </w:rPr>
        <w:instrText xml:space="preserve"> HYPERLINK \l _Toc19716 </w:instrText>
      </w:r>
      <w:r>
        <w:rPr>
          <w:rFonts w:ascii="宋体" w:hAnsi="宋体" w:cs="宋体"/>
        </w:rPr>
        <w:fldChar w:fldCharType="separate"/>
      </w:r>
      <w:r>
        <w:rPr>
          <w:rFonts w:hint="eastAsia"/>
        </w:rPr>
        <w:t>第三章</w:t>
      </w:r>
      <w:r>
        <w:t xml:space="preserve">  </w:t>
      </w:r>
      <w:r>
        <w:rPr>
          <w:rFonts w:hint="eastAsia"/>
        </w:rPr>
        <w:t>询价内容及要求</w:t>
      </w:r>
      <w:r>
        <w:tab/>
      </w:r>
      <w:r>
        <w:rPr>
          <w:rFonts w:ascii="宋体" w:hAnsi="宋体" w:cs="宋体"/>
        </w:rPr>
        <w:fldChar w:fldCharType="end"/>
      </w:r>
      <w:r>
        <w:rPr>
          <w:rFonts w:hint="eastAsia"/>
          <w:lang w:val="en-US" w:eastAsia="zh-CN"/>
        </w:rPr>
        <w:t>35</w:t>
      </w:r>
    </w:p>
    <w:p>
      <w:pPr>
        <w:pStyle w:val="23"/>
        <w:tabs>
          <w:tab w:val="right" w:leader="dot" w:pos="9071"/>
        </w:tabs>
        <w:rPr>
          <w:rFonts w:hint="default" w:eastAsia="宋体"/>
          <w:lang w:val="en-US" w:eastAsia="zh-CN"/>
        </w:rPr>
      </w:pPr>
      <w:r>
        <w:rPr>
          <w:rFonts w:ascii="宋体" w:hAnsi="宋体" w:cs="宋体"/>
        </w:rPr>
        <w:fldChar w:fldCharType="begin"/>
      </w:r>
      <w:r>
        <w:rPr>
          <w:rFonts w:ascii="宋体" w:hAnsi="宋体" w:cs="宋体"/>
        </w:rPr>
        <w:instrText xml:space="preserve"> HYPERLINK \l _Toc31833 </w:instrText>
      </w:r>
      <w:r>
        <w:rPr>
          <w:rFonts w:ascii="宋体" w:hAnsi="宋体" w:cs="宋体"/>
        </w:rPr>
        <w:fldChar w:fldCharType="separate"/>
      </w:r>
      <w:r>
        <w:rPr>
          <w:rFonts w:hint="eastAsia"/>
        </w:rPr>
        <w:t>第四章</w:t>
      </w:r>
      <w:r>
        <w:t xml:space="preserve">  </w:t>
      </w:r>
      <w:r>
        <w:rPr>
          <w:rFonts w:hint="eastAsia"/>
        </w:rPr>
        <w:t>采购合同（参考文本）</w:t>
      </w:r>
      <w:r>
        <w:tab/>
      </w:r>
      <w:r>
        <w:rPr>
          <w:rFonts w:ascii="宋体" w:hAnsi="宋体" w:cs="宋体"/>
        </w:rPr>
        <w:fldChar w:fldCharType="end"/>
      </w:r>
      <w:r>
        <w:rPr>
          <w:rFonts w:hint="eastAsia"/>
          <w:lang w:val="en-US" w:eastAsia="zh-CN"/>
        </w:rPr>
        <w:t>60</w:t>
      </w:r>
    </w:p>
    <w:p>
      <w:pPr>
        <w:pStyle w:val="23"/>
        <w:tabs>
          <w:tab w:val="right" w:leader="dot" w:pos="9071"/>
        </w:tabs>
        <w:rPr>
          <w:rFonts w:hint="default" w:eastAsia="宋体"/>
          <w:lang w:val="en-US" w:eastAsia="zh-CN"/>
        </w:rPr>
      </w:pPr>
      <w:r>
        <w:rPr>
          <w:rFonts w:ascii="宋体" w:hAnsi="宋体" w:cs="宋体"/>
        </w:rPr>
        <w:fldChar w:fldCharType="begin"/>
      </w:r>
      <w:r>
        <w:rPr>
          <w:rFonts w:ascii="宋体" w:hAnsi="宋体" w:cs="宋体"/>
        </w:rPr>
        <w:instrText xml:space="preserve"> HYPERLINK \l _Toc16861 </w:instrText>
      </w:r>
      <w:r>
        <w:rPr>
          <w:rFonts w:ascii="宋体" w:hAnsi="宋体" w:cs="宋体"/>
        </w:rPr>
        <w:fldChar w:fldCharType="separate"/>
      </w:r>
      <w:r>
        <w:rPr>
          <w:rFonts w:hint="eastAsia"/>
        </w:rPr>
        <w:t>第五章</w:t>
      </w:r>
      <w:r>
        <w:t xml:space="preserve">    </w:t>
      </w:r>
      <w:r>
        <w:rPr>
          <w:rFonts w:hint="eastAsia"/>
        </w:rPr>
        <w:t>询价响应文件格式</w:t>
      </w:r>
      <w:r>
        <w:tab/>
      </w:r>
      <w:r>
        <w:rPr>
          <w:rFonts w:ascii="宋体" w:hAnsi="宋体" w:cs="宋体"/>
        </w:rPr>
        <w:fldChar w:fldCharType="end"/>
      </w:r>
      <w:r>
        <w:rPr>
          <w:rFonts w:hint="eastAsia"/>
          <w:lang w:val="en-US" w:eastAsia="zh-CN"/>
        </w:rPr>
        <w:t>66</w:t>
      </w:r>
    </w:p>
    <w:p>
      <w:pPr>
        <w:pStyle w:val="6"/>
        <w:snapToGrid w:val="0"/>
        <w:spacing w:line="360" w:lineRule="auto"/>
        <w:ind w:firstLine="480" w:firstLineChars="200"/>
        <w:rPr>
          <w:rFonts w:ascii="宋体"/>
          <w:sz w:val="24"/>
        </w:rPr>
      </w:pPr>
      <w:r>
        <w:rPr>
          <w:rFonts w:ascii="宋体" w:hAnsi="宋体" w:cs="宋体"/>
          <w:sz w:val="24"/>
        </w:rPr>
        <w:fldChar w:fldCharType="end"/>
      </w:r>
    </w:p>
    <w:p>
      <w:pPr>
        <w:pStyle w:val="17"/>
        <w:spacing w:line="360" w:lineRule="auto"/>
        <w:ind w:firstLine="883" w:firstLineChars="200"/>
        <w:rPr>
          <w:rFonts w:hAnsi="宋体"/>
          <w:b/>
          <w:bCs/>
          <w:sz w:val="44"/>
        </w:rPr>
      </w:pPr>
    </w:p>
    <w:p>
      <w:pPr>
        <w:pStyle w:val="17"/>
        <w:spacing w:line="360" w:lineRule="auto"/>
        <w:ind w:firstLine="883" w:firstLineChars="200"/>
        <w:jc w:val="center"/>
        <w:rPr>
          <w:rFonts w:hAnsi="宋体"/>
          <w:b/>
          <w:bCs/>
          <w:sz w:val="44"/>
        </w:rPr>
      </w:pPr>
    </w:p>
    <w:p>
      <w:pPr>
        <w:pStyle w:val="17"/>
        <w:spacing w:line="360" w:lineRule="auto"/>
        <w:ind w:firstLine="883" w:firstLineChars="200"/>
        <w:jc w:val="center"/>
        <w:rPr>
          <w:rFonts w:hAnsi="宋体"/>
          <w:b/>
          <w:bCs/>
          <w:sz w:val="44"/>
        </w:rPr>
      </w:pPr>
    </w:p>
    <w:p>
      <w:pPr>
        <w:pStyle w:val="17"/>
        <w:spacing w:line="360" w:lineRule="auto"/>
        <w:ind w:firstLine="883" w:firstLineChars="200"/>
        <w:jc w:val="center"/>
        <w:rPr>
          <w:rFonts w:hAnsi="宋体"/>
          <w:b/>
          <w:bCs/>
          <w:sz w:val="44"/>
        </w:rPr>
      </w:pPr>
    </w:p>
    <w:p>
      <w:pPr>
        <w:pStyle w:val="17"/>
        <w:spacing w:line="360" w:lineRule="auto"/>
        <w:ind w:firstLine="883" w:firstLineChars="200"/>
        <w:jc w:val="center"/>
        <w:rPr>
          <w:rFonts w:hAnsi="宋体"/>
          <w:b/>
          <w:bCs/>
          <w:sz w:val="44"/>
        </w:rPr>
      </w:pPr>
    </w:p>
    <w:p>
      <w:pPr>
        <w:pStyle w:val="17"/>
        <w:spacing w:line="360" w:lineRule="auto"/>
        <w:ind w:firstLine="883" w:firstLineChars="200"/>
        <w:jc w:val="center"/>
        <w:rPr>
          <w:rFonts w:hAnsi="宋体"/>
          <w:b/>
          <w:bCs/>
          <w:sz w:val="44"/>
        </w:rPr>
      </w:pPr>
    </w:p>
    <w:p>
      <w:pPr>
        <w:pStyle w:val="17"/>
        <w:spacing w:line="360" w:lineRule="auto"/>
        <w:ind w:firstLine="883" w:firstLineChars="200"/>
        <w:jc w:val="center"/>
        <w:rPr>
          <w:rFonts w:hAnsi="宋体"/>
          <w:b/>
          <w:bCs/>
          <w:sz w:val="44"/>
        </w:rPr>
      </w:pPr>
    </w:p>
    <w:p>
      <w:pPr>
        <w:pStyle w:val="17"/>
        <w:spacing w:line="360" w:lineRule="auto"/>
        <w:ind w:firstLine="883" w:firstLineChars="200"/>
        <w:jc w:val="center"/>
        <w:rPr>
          <w:rFonts w:hAnsi="宋体"/>
          <w:b/>
          <w:bCs/>
          <w:sz w:val="44"/>
        </w:rPr>
      </w:pPr>
    </w:p>
    <w:p>
      <w:pPr>
        <w:pStyle w:val="4"/>
        <w:numPr>
          <w:ilvl w:val="0"/>
          <w:numId w:val="0"/>
        </w:numPr>
        <w:sectPr>
          <w:headerReference r:id="rId8" w:type="default"/>
          <w:footerReference r:id="rId9" w:type="default"/>
          <w:pgSz w:w="11906" w:h="16838"/>
          <w:pgMar w:top="1134" w:right="1134" w:bottom="1134" w:left="1701" w:header="851" w:footer="992" w:gutter="0"/>
          <w:pgNumType w:fmt="decimal" w:start="1"/>
          <w:cols w:space="720" w:num="1"/>
          <w:docGrid w:type="lines" w:linePitch="312" w:charSpace="0"/>
        </w:sectPr>
      </w:pPr>
      <w:bookmarkStart w:id="1" w:name="_Toc17298"/>
      <w:bookmarkStart w:id="2" w:name="_Toc28987"/>
    </w:p>
    <w:p>
      <w:pPr>
        <w:pStyle w:val="4"/>
        <w:numPr>
          <w:ilvl w:val="0"/>
          <w:numId w:val="0"/>
        </w:numPr>
      </w:pPr>
      <w:bookmarkStart w:id="3" w:name="_Toc3301"/>
      <w:bookmarkStart w:id="4" w:name="_Toc5116"/>
      <w:r>
        <w:rPr>
          <w:rFonts w:hint="eastAsia"/>
        </w:rPr>
        <w:t>第一章</w:t>
      </w:r>
      <w:r>
        <w:t xml:space="preserve"> </w:t>
      </w:r>
      <w:r>
        <w:rPr>
          <w:rFonts w:hint="eastAsia"/>
        </w:rPr>
        <w:t>询价邀请</w:t>
      </w:r>
      <w:bookmarkEnd w:id="1"/>
      <w:bookmarkEnd w:id="2"/>
      <w:bookmarkEnd w:id="3"/>
      <w:bookmarkEnd w:id="4"/>
    </w:p>
    <w:p>
      <w:pPr>
        <w:pStyle w:val="5"/>
        <w:numPr>
          <w:ilvl w:val="0"/>
          <w:numId w:val="0"/>
        </w:numPr>
        <w:spacing w:before="120" w:line="360" w:lineRule="auto"/>
        <w:ind w:firstLine="723" w:firstLineChars="200"/>
        <w:rPr>
          <w:rFonts w:ascii="宋体"/>
          <w:b w:val="0"/>
          <w:sz w:val="36"/>
        </w:rPr>
      </w:pPr>
      <w:bookmarkStart w:id="5" w:name="_Toc21884"/>
      <w:bookmarkStart w:id="6" w:name="_Toc15222"/>
      <w:bookmarkStart w:id="7" w:name="_Toc6080"/>
      <w:bookmarkStart w:id="8" w:name="_Toc22393"/>
      <w:r>
        <w:rPr>
          <w:rFonts w:hint="eastAsia" w:ascii="宋体" w:hAnsi="宋体"/>
          <w:sz w:val="36"/>
        </w:rPr>
        <w:t>一、询价邀请</w:t>
      </w:r>
      <w:bookmarkEnd w:id="5"/>
      <w:bookmarkEnd w:id="6"/>
      <w:bookmarkEnd w:id="7"/>
      <w:bookmarkEnd w:id="8"/>
    </w:p>
    <w:p>
      <w:pPr>
        <w:spacing w:before="120" w:line="360" w:lineRule="auto"/>
        <w:ind w:firstLine="480" w:firstLineChars="200"/>
        <w:rPr>
          <w:rFonts w:ascii="宋体"/>
          <w:sz w:val="24"/>
          <w:u w:val="single"/>
        </w:rPr>
      </w:pPr>
      <w:r>
        <w:rPr>
          <w:rFonts w:hint="eastAsia" w:ascii="宋体" w:hAnsi="宋体"/>
          <w:sz w:val="24"/>
        </w:rPr>
        <w:t>受采购人委托，对本项目的下述货物、服务进行询价采购。现通过发布公告的方式，邀请所有符合本采购文件规定资格条件的供应商参加。</w:t>
      </w:r>
    </w:p>
    <w:p>
      <w:pPr>
        <w:numPr>
          <w:ilvl w:val="0"/>
          <w:numId w:val="5"/>
        </w:numPr>
        <w:spacing w:line="360" w:lineRule="auto"/>
        <w:ind w:firstLine="480" w:firstLineChars="200"/>
        <w:rPr>
          <w:rFonts w:ascii="宋体"/>
          <w:sz w:val="24"/>
        </w:rPr>
      </w:pPr>
      <w:r>
        <w:rPr>
          <w:rFonts w:hint="eastAsia" w:ascii="宋体" w:hAnsi="宋体"/>
          <w:sz w:val="24"/>
        </w:rPr>
        <w:t>采购编号：</w:t>
      </w:r>
      <w:r>
        <w:rPr>
          <w:rFonts w:hint="eastAsia" w:ascii="宋体" w:hAnsi="宋体"/>
          <w:sz w:val="24"/>
          <w:lang w:eastAsia="zh-CN"/>
        </w:rPr>
        <w:t>CFZJZX招〔2022）-244</w:t>
      </w:r>
    </w:p>
    <w:p>
      <w:pPr>
        <w:numPr>
          <w:ilvl w:val="0"/>
          <w:numId w:val="5"/>
        </w:numPr>
        <w:spacing w:line="360" w:lineRule="auto"/>
        <w:ind w:firstLine="480" w:firstLineChars="200"/>
        <w:rPr>
          <w:rFonts w:hint="eastAsia" w:ascii="宋体" w:hAnsi="宋体"/>
          <w:sz w:val="24"/>
        </w:rPr>
      </w:pPr>
      <w:r>
        <w:rPr>
          <w:rFonts w:hint="eastAsia" w:ascii="宋体" w:hAnsi="宋体"/>
          <w:sz w:val="24"/>
        </w:rPr>
        <w:t>项目名称：</w:t>
      </w:r>
      <w:r>
        <w:rPr>
          <w:rFonts w:hint="eastAsia" w:ascii="宋体" w:hAnsi="宋体"/>
          <w:bCs w:val="0"/>
          <w:sz w:val="24"/>
          <w:lang w:eastAsia="zh-CN"/>
        </w:rPr>
        <w:t>龙岩智发科技智能化设备采购（二）</w:t>
      </w:r>
    </w:p>
    <w:p>
      <w:pPr>
        <w:numPr>
          <w:ilvl w:val="0"/>
          <w:numId w:val="5"/>
        </w:numPr>
        <w:spacing w:line="360" w:lineRule="auto"/>
        <w:ind w:firstLine="480" w:firstLineChars="200"/>
        <w:rPr>
          <w:rFonts w:ascii="宋体"/>
          <w:sz w:val="24"/>
        </w:rPr>
      </w:pPr>
      <w:r>
        <w:rPr>
          <w:rFonts w:hint="eastAsia" w:ascii="宋体" w:hAnsi="宋体"/>
          <w:sz w:val="24"/>
        </w:rPr>
        <w:t>询价货物名称、数量及主要技术规格：见后附：询价货物一览表</w:t>
      </w:r>
    </w:p>
    <w:p>
      <w:pPr>
        <w:spacing w:line="360" w:lineRule="auto"/>
        <w:ind w:firstLine="480" w:firstLineChars="200"/>
        <w:rPr>
          <w:rFonts w:ascii="宋体"/>
          <w:sz w:val="24"/>
        </w:rPr>
      </w:pPr>
      <w:r>
        <w:rPr>
          <w:rFonts w:ascii="宋体" w:hAnsi="宋体"/>
          <w:sz w:val="24"/>
        </w:rPr>
        <w:t>4</w:t>
      </w:r>
      <w:r>
        <w:rPr>
          <w:rFonts w:hint="eastAsia" w:ascii="宋体" w:hAnsi="宋体"/>
          <w:sz w:val="24"/>
        </w:rPr>
        <w:t>、供应商资格要求：</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）凡有能力提供本采购文件所述货物及服务的，具有</w:t>
      </w:r>
      <w:r>
        <w:rPr>
          <w:rFonts w:hint="eastAsia" w:ascii="宋体" w:hAnsi="宋体"/>
          <w:sz w:val="24"/>
          <w:lang w:eastAsia="zh-CN"/>
        </w:rPr>
        <w:t>法人资格的境内供应商或其分支机构</w:t>
      </w:r>
      <w:r>
        <w:rPr>
          <w:rFonts w:hint="eastAsia" w:ascii="宋体" w:hAnsi="宋体"/>
          <w:sz w:val="24"/>
        </w:rPr>
        <w:t>均可能成为合格的供应商。</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）询价供应商应遵守中国的有关法律、法规和规章的规定。</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）询价供应商之间存在下列互为关联关系的情形之一的，不得同时参加本项目询</w:t>
      </w:r>
      <w:bookmarkStart w:id="317" w:name="_GoBack"/>
      <w:bookmarkEnd w:id="317"/>
      <w:r>
        <w:rPr>
          <w:rFonts w:hint="eastAsia" w:ascii="宋体" w:hAnsi="宋体"/>
          <w:sz w:val="24"/>
        </w:rPr>
        <w:t>价：</w:t>
      </w:r>
    </w:p>
    <w:p>
      <w:pPr>
        <w:spacing w:line="360" w:lineRule="auto"/>
        <w:ind w:firstLine="720" w:firstLineChars="300"/>
        <w:rPr>
          <w:rFonts w:ascii="宋体"/>
          <w:sz w:val="24"/>
        </w:rPr>
      </w:pPr>
      <w:r>
        <w:rPr>
          <w:rFonts w:ascii="宋体" w:hAnsi="宋体"/>
          <w:sz w:val="24"/>
        </w:rPr>
        <w:t xml:space="preserve">A </w:t>
      </w:r>
      <w:r>
        <w:rPr>
          <w:rFonts w:hint="eastAsia" w:ascii="宋体" w:hAnsi="宋体"/>
          <w:sz w:val="24"/>
        </w:rPr>
        <w:t>法定代表人为同一人的两个及两个以上法人；</w:t>
      </w:r>
    </w:p>
    <w:p>
      <w:pPr>
        <w:spacing w:line="360" w:lineRule="auto"/>
        <w:ind w:firstLine="720" w:firstLineChars="300"/>
        <w:rPr>
          <w:rFonts w:ascii="宋体"/>
          <w:sz w:val="24"/>
        </w:rPr>
      </w:pPr>
      <w:r>
        <w:rPr>
          <w:rFonts w:ascii="宋体" w:hAnsi="宋体"/>
          <w:sz w:val="24"/>
        </w:rPr>
        <w:t xml:space="preserve">B </w:t>
      </w:r>
      <w:r>
        <w:rPr>
          <w:rFonts w:hint="eastAsia" w:ascii="宋体" w:hAnsi="宋体"/>
          <w:sz w:val="24"/>
        </w:rPr>
        <w:t>母公司、直接或间接持股</w:t>
      </w:r>
      <w:r>
        <w:rPr>
          <w:rFonts w:ascii="宋体" w:hAnsi="宋体"/>
          <w:sz w:val="24"/>
        </w:rPr>
        <w:t>50</w:t>
      </w:r>
      <w:r>
        <w:rPr>
          <w:rFonts w:hint="eastAsia" w:ascii="宋体" w:hAnsi="宋体"/>
          <w:sz w:val="24"/>
        </w:rPr>
        <w:t>％及以上的被投资公司</w:t>
      </w:r>
      <w:r>
        <w:rPr>
          <w:rFonts w:ascii="宋体" w:hAnsi="宋体"/>
          <w:sz w:val="24"/>
        </w:rPr>
        <w:t>;</w:t>
      </w:r>
    </w:p>
    <w:p>
      <w:pPr>
        <w:spacing w:line="360" w:lineRule="auto"/>
        <w:ind w:firstLine="720" w:firstLineChars="300"/>
        <w:rPr>
          <w:rFonts w:ascii="宋体"/>
          <w:sz w:val="24"/>
        </w:rPr>
      </w:pPr>
      <w:r>
        <w:rPr>
          <w:rFonts w:ascii="宋体" w:hAnsi="宋体"/>
          <w:sz w:val="24"/>
        </w:rPr>
        <w:t xml:space="preserve">C </w:t>
      </w:r>
      <w:r>
        <w:rPr>
          <w:rFonts w:hint="eastAsia" w:ascii="宋体" w:hAnsi="宋体"/>
          <w:sz w:val="24"/>
        </w:rPr>
        <w:t>均为同一家母公司直接或间接持股</w:t>
      </w:r>
      <w:r>
        <w:rPr>
          <w:rFonts w:ascii="宋体" w:hAnsi="宋体"/>
          <w:sz w:val="24"/>
        </w:rPr>
        <w:t>50</w:t>
      </w:r>
      <w:r>
        <w:rPr>
          <w:rFonts w:hint="eastAsia" w:ascii="宋体" w:hAnsi="宋体"/>
          <w:sz w:val="24"/>
        </w:rPr>
        <w:t>％及以上的被投资公司。</w:t>
      </w:r>
    </w:p>
    <w:p>
      <w:pPr>
        <w:spacing w:line="360" w:lineRule="auto"/>
        <w:ind w:firstLine="482" w:firstLineChars="200"/>
        <w:rPr>
          <w:rFonts w:ascii="宋体"/>
          <w:b/>
          <w:sz w:val="24"/>
        </w:rPr>
      </w:pPr>
      <w:r>
        <w:rPr>
          <w:rFonts w:hint="eastAsia" w:ascii="宋体" w:hAnsi="宋体"/>
          <w:b/>
          <w:sz w:val="24"/>
        </w:rPr>
        <w:t>询价供应商如具备上述情形之一的，互为关联关系的询价供应商的询价响应将均被视为无效响应。</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）询价供应商不得与本次询价项下设计、编制技术规格和其它文件的公司或提供咨询服务的公司包括其附属机构有任何关联。</w:t>
      </w:r>
    </w:p>
    <w:p>
      <w:pPr>
        <w:spacing w:line="360" w:lineRule="auto"/>
        <w:ind w:firstLine="480" w:firstLineChars="200"/>
        <w:rPr>
          <w:rFonts w:ascii="宋体"/>
          <w:color w:val="auto"/>
          <w:sz w:val="24"/>
          <w:szCs w:val="18"/>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）本项目</w:t>
      </w:r>
      <w:r>
        <w:rPr>
          <w:rFonts w:hint="eastAsia" w:ascii="宋体" w:hAnsi="宋体"/>
          <w:color w:val="auto"/>
          <w:sz w:val="24"/>
          <w:lang w:eastAsia="zh-CN"/>
        </w:rPr>
        <w:t>不</w:t>
      </w:r>
      <w:r>
        <w:rPr>
          <w:rFonts w:hint="eastAsia" w:ascii="宋体" w:hAnsi="宋体"/>
          <w:color w:val="auto"/>
          <w:sz w:val="24"/>
        </w:rPr>
        <w:t>接受联合体询价。</w:t>
      </w:r>
    </w:p>
    <w:p>
      <w:pPr>
        <w:spacing w:line="360" w:lineRule="auto"/>
        <w:ind w:firstLine="480" w:firstLineChars="200"/>
        <w:rPr>
          <w:rFonts w:ascii="宋体"/>
          <w:sz w:val="24"/>
          <w:szCs w:val="18"/>
        </w:rPr>
      </w:pPr>
      <w:r>
        <w:rPr>
          <w:rFonts w:hint="eastAsia" w:ascii="宋体" w:hAnsi="宋体"/>
          <w:sz w:val="24"/>
        </w:rPr>
        <w:t>（</w:t>
      </w:r>
      <w:r>
        <w:rPr>
          <w:rFonts w:ascii="宋体" w:hAnsi="宋体"/>
          <w:sz w:val="24"/>
        </w:rPr>
        <w:t>6</w:t>
      </w:r>
      <w:r>
        <w:rPr>
          <w:rFonts w:hint="eastAsia" w:ascii="宋体" w:hAnsi="宋体"/>
          <w:sz w:val="24"/>
        </w:rPr>
        <w:t>）</w:t>
      </w:r>
      <w:r>
        <w:rPr>
          <w:rFonts w:hint="eastAsia" w:ascii="宋体" w:hAnsi="宋体"/>
          <w:sz w:val="24"/>
          <w:szCs w:val="18"/>
        </w:rPr>
        <w:t>询价供应商代理人在本次询价中只能接受一个询价供应商的委托参加询价。</w:t>
      </w:r>
    </w:p>
    <w:p>
      <w:pPr>
        <w:spacing w:line="360" w:lineRule="auto"/>
        <w:ind w:firstLine="480" w:firstLineChars="200"/>
      </w:pPr>
      <w:r>
        <w:rPr>
          <w:rFonts w:hint="eastAsia" w:ascii="宋体" w:hAnsi="宋体"/>
          <w:sz w:val="24"/>
        </w:rPr>
        <w:t>（</w:t>
      </w:r>
      <w:r>
        <w:rPr>
          <w:rFonts w:ascii="宋体" w:hAnsi="宋体"/>
          <w:sz w:val="24"/>
        </w:rPr>
        <w:t>7</w:t>
      </w:r>
      <w:r>
        <w:rPr>
          <w:rFonts w:hint="eastAsia" w:ascii="宋体" w:hAnsi="宋体"/>
          <w:sz w:val="24"/>
        </w:rPr>
        <w:t>）</w:t>
      </w:r>
      <w:r>
        <w:rPr>
          <w:rFonts w:hint="eastAsia" w:ascii="宋体" w:hAnsi="宋体"/>
          <w:sz w:val="24"/>
          <w:szCs w:val="18"/>
        </w:rPr>
        <w:t>询价供应商按本询价通知书规定缴纳询价保证金。</w:t>
      </w:r>
    </w:p>
    <w:p>
      <w:pPr>
        <w:pStyle w:val="2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sz w:val="24"/>
          <w:szCs w:val="24"/>
        </w:rPr>
      </w:pPr>
      <w:r>
        <w:rPr>
          <w:rFonts w:ascii="宋体" w:hAnsi="宋体"/>
          <w:sz w:val="24"/>
        </w:rPr>
        <w:t>5</w:t>
      </w:r>
      <w:r>
        <w:rPr>
          <w:rFonts w:hint="eastAsia" w:ascii="宋体" w:hAnsi="宋体"/>
          <w:sz w:val="24"/>
        </w:rPr>
        <w:t>、询价通知书</w:t>
      </w:r>
      <w:r>
        <w:rPr>
          <w:rFonts w:hint="eastAsia" w:asciiTheme="majorEastAsia" w:hAnsiTheme="majorEastAsia" w:eastAsiaTheme="majorEastAsia" w:cstheme="majorEastAsia"/>
          <w:sz w:val="24"/>
          <w:lang w:val="en-US" w:eastAsia="zh-CN"/>
        </w:rPr>
        <w:t>领取</w:t>
      </w:r>
      <w:r>
        <w:rPr>
          <w:rFonts w:hint="eastAsia" w:asciiTheme="majorEastAsia" w:hAnsiTheme="majorEastAsia" w:eastAsiaTheme="majorEastAsia" w:cstheme="majorEastAsia"/>
          <w:sz w:val="24"/>
        </w:rPr>
        <w:t>时间：</w:t>
      </w:r>
      <w:r>
        <w:rPr>
          <w:rFonts w:hint="eastAsia" w:asciiTheme="majorEastAsia" w:hAnsiTheme="majorEastAsia" w:eastAsiaTheme="majorEastAsia" w:cstheme="majorEastAsia"/>
          <w:b w:val="0"/>
          <w:i w:val="0"/>
          <w:caps w:val="0"/>
          <w:color w:val="333333"/>
          <w:spacing w:val="0"/>
          <w:sz w:val="24"/>
          <w:szCs w:val="24"/>
        </w:rPr>
        <w:t>有意参加本项目投标的企业，请于202</w:t>
      </w:r>
      <w:r>
        <w:rPr>
          <w:rFonts w:hint="eastAsia" w:asciiTheme="majorEastAsia" w:hAnsiTheme="majorEastAsia" w:eastAsiaTheme="majorEastAsia" w:cstheme="majorEastAsia"/>
          <w:b w:val="0"/>
          <w:i w:val="0"/>
          <w:caps w:val="0"/>
          <w:color w:val="333333"/>
          <w:spacing w:val="0"/>
          <w:sz w:val="24"/>
          <w:szCs w:val="24"/>
          <w:lang w:val="en-US" w:eastAsia="zh-CN"/>
        </w:rPr>
        <w:t>2</w:t>
      </w:r>
      <w:r>
        <w:rPr>
          <w:rFonts w:hint="eastAsia" w:asciiTheme="majorEastAsia" w:hAnsiTheme="majorEastAsia" w:eastAsiaTheme="majorEastAsia" w:cstheme="majorEastAsia"/>
          <w:b w:val="0"/>
          <w:i w:val="0"/>
          <w:caps w:val="0"/>
          <w:color w:val="333333"/>
          <w:spacing w:val="0"/>
          <w:sz w:val="24"/>
          <w:szCs w:val="24"/>
        </w:rPr>
        <w:t>年</w:t>
      </w:r>
      <w:r>
        <w:rPr>
          <w:rFonts w:hint="eastAsia" w:asciiTheme="majorEastAsia" w:hAnsiTheme="majorEastAsia" w:eastAsiaTheme="majorEastAsia" w:cstheme="majorEastAsia"/>
          <w:b w:val="0"/>
          <w:i w:val="0"/>
          <w:caps w:val="0"/>
          <w:color w:val="333333"/>
          <w:spacing w:val="0"/>
          <w:sz w:val="24"/>
          <w:szCs w:val="24"/>
          <w:lang w:val="en-US" w:eastAsia="zh-CN"/>
        </w:rPr>
        <w:t>11月18日</w:t>
      </w:r>
      <w:r>
        <w:rPr>
          <w:rFonts w:hint="eastAsia" w:asciiTheme="majorEastAsia" w:hAnsiTheme="majorEastAsia" w:eastAsiaTheme="majorEastAsia" w:cstheme="majorEastAsia"/>
          <w:b w:val="0"/>
          <w:i w:val="0"/>
          <w:caps w:val="0"/>
          <w:color w:val="333333"/>
          <w:spacing w:val="0"/>
          <w:sz w:val="24"/>
          <w:szCs w:val="24"/>
        </w:rPr>
        <w:t>至</w:t>
      </w:r>
      <w:r>
        <w:rPr>
          <w:rFonts w:hint="eastAsia" w:asciiTheme="majorEastAsia" w:hAnsiTheme="majorEastAsia" w:eastAsiaTheme="majorEastAsia" w:cstheme="majorEastAsia"/>
          <w:b w:val="0"/>
          <w:i w:val="0"/>
          <w:caps w:val="0"/>
          <w:color w:val="333333"/>
          <w:spacing w:val="0"/>
          <w:sz w:val="24"/>
          <w:szCs w:val="24"/>
          <w:lang w:eastAsia="zh-CN"/>
        </w:rPr>
        <w:t>2022</w:t>
      </w:r>
      <w:r>
        <w:rPr>
          <w:rFonts w:hint="eastAsia" w:asciiTheme="majorEastAsia" w:hAnsiTheme="majorEastAsia" w:eastAsiaTheme="majorEastAsia" w:cstheme="majorEastAsia"/>
          <w:b w:val="0"/>
          <w:i w:val="0"/>
          <w:caps w:val="0"/>
          <w:color w:val="333333"/>
          <w:spacing w:val="0"/>
          <w:sz w:val="24"/>
          <w:szCs w:val="24"/>
        </w:rPr>
        <w:t xml:space="preserve"> 年</w:t>
      </w:r>
      <w:r>
        <w:rPr>
          <w:rFonts w:hint="eastAsia" w:asciiTheme="majorEastAsia" w:hAnsiTheme="majorEastAsia" w:eastAsiaTheme="majorEastAsia" w:cstheme="majorEastAsia"/>
          <w:b w:val="0"/>
          <w:i w:val="0"/>
          <w:caps w:val="0"/>
          <w:color w:val="333333"/>
          <w:spacing w:val="0"/>
          <w:sz w:val="24"/>
          <w:szCs w:val="24"/>
          <w:lang w:val="en-US" w:eastAsia="zh-CN"/>
        </w:rPr>
        <w:t>11</w:t>
      </w:r>
      <w:r>
        <w:rPr>
          <w:rFonts w:hint="eastAsia" w:asciiTheme="majorEastAsia" w:hAnsiTheme="majorEastAsia" w:eastAsiaTheme="majorEastAsia" w:cstheme="majorEastAsia"/>
          <w:b w:val="0"/>
          <w:i w:val="0"/>
          <w:caps w:val="0"/>
          <w:color w:val="333333"/>
          <w:spacing w:val="0"/>
          <w:sz w:val="24"/>
          <w:szCs w:val="24"/>
        </w:rPr>
        <w:t>月</w:t>
      </w:r>
      <w:r>
        <w:rPr>
          <w:rFonts w:hint="eastAsia" w:asciiTheme="majorEastAsia" w:hAnsiTheme="majorEastAsia" w:eastAsiaTheme="majorEastAsia" w:cstheme="majorEastAsia"/>
          <w:b w:val="0"/>
          <w:i w:val="0"/>
          <w:caps w:val="0"/>
          <w:color w:val="333333"/>
          <w:spacing w:val="0"/>
          <w:sz w:val="24"/>
          <w:szCs w:val="24"/>
          <w:lang w:val="en-US" w:eastAsia="zh-CN"/>
        </w:rPr>
        <w:t>24</w:t>
      </w:r>
      <w:r>
        <w:rPr>
          <w:rFonts w:hint="eastAsia" w:asciiTheme="majorEastAsia" w:hAnsiTheme="majorEastAsia" w:eastAsiaTheme="majorEastAsia" w:cstheme="majorEastAsia"/>
          <w:b w:val="0"/>
          <w:i w:val="0"/>
          <w:caps w:val="0"/>
          <w:color w:val="333333"/>
          <w:spacing w:val="0"/>
          <w:sz w:val="24"/>
          <w:szCs w:val="24"/>
        </w:rPr>
        <w:t xml:space="preserve">日前（法定公休日、法定节假日除外），每天上午 9 时 00 分至 11 时 30分，下午 15 时 </w:t>
      </w:r>
      <w:r>
        <w:rPr>
          <w:rFonts w:hint="eastAsia" w:asciiTheme="majorEastAsia" w:hAnsiTheme="majorEastAsia" w:eastAsiaTheme="majorEastAsia" w:cstheme="majorEastAsia"/>
          <w:b w:val="0"/>
          <w:i w:val="0"/>
          <w:caps w:val="0"/>
          <w:color w:val="333333"/>
          <w:spacing w:val="0"/>
          <w:sz w:val="24"/>
          <w:szCs w:val="24"/>
          <w:lang w:val="en-US" w:eastAsia="zh-CN"/>
        </w:rPr>
        <w:t>0</w:t>
      </w:r>
      <w:r>
        <w:rPr>
          <w:rFonts w:hint="eastAsia" w:asciiTheme="majorEastAsia" w:hAnsiTheme="majorEastAsia" w:eastAsiaTheme="majorEastAsia" w:cstheme="majorEastAsia"/>
          <w:b w:val="0"/>
          <w:i w:val="0"/>
          <w:caps w:val="0"/>
          <w:color w:val="333333"/>
          <w:spacing w:val="0"/>
          <w:sz w:val="24"/>
          <w:szCs w:val="24"/>
        </w:rPr>
        <w:t>0 分至 17 时 30 分（北京时间，下同），到</w:t>
      </w:r>
      <w:r>
        <w:rPr>
          <w:rFonts w:hint="eastAsia" w:asciiTheme="majorEastAsia" w:hAnsiTheme="majorEastAsia" w:eastAsiaTheme="majorEastAsia" w:cstheme="majorEastAsia"/>
          <w:b w:val="0"/>
          <w:i w:val="0"/>
          <w:caps w:val="0"/>
          <w:color w:val="333333"/>
          <w:spacing w:val="0"/>
          <w:sz w:val="24"/>
          <w:szCs w:val="24"/>
          <w:lang w:eastAsia="zh-CN"/>
        </w:rPr>
        <w:t>龙岩城发工程造价咨询服务有限公司</w:t>
      </w:r>
      <w:r>
        <w:rPr>
          <w:rFonts w:hint="eastAsia" w:asciiTheme="majorEastAsia" w:hAnsiTheme="majorEastAsia" w:eastAsiaTheme="majorEastAsia" w:cstheme="majorEastAsia"/>
          <w:b w:val="0"/>
          <w:i w:val="0"/>
          <w:caps w:val="0"/>
          <w:color w:val="333333"/>
          <w:spacing w:val="0"/>
          <w:sz w:val="24"/>
          <w:szCs w:val="24"/>
        </w:rPr>
        <w:t>（地点：</w:t>
      </w:r>
      <w:r>
        <w:rPr>
          <w:rFonts w:hint="eastAsia" w:asciiTheme="majorEastAsia" w:hAnsiTheme="majorEastAsia" w:eastAsiaTheme="majorEastAsia" w:cstheme="majorEastAsia"/>
          <w:b w:val="0"/>
          <w:i w:val="0"/>
          <w:caps w:val="0"/>
          <w:color w:val="333333"/>
          <w:spacing w:val="0"/>
          <w:sz w:val="24"/>
          <w:szCs w:val="24"/>
          <w:lang w:eastAsia="zh-CN"/>
        </w:rPr>
        <w:t>龙岩市新罗区华莲路138号金融中心A1A2幢5楼502室</w:t>
      </w:r>
      <w:r>
        <w:rPr>
          <w:rFonts w:hint="eastAsia" w:asciiTheme="majorEastAsia" w:hAnsiTheme="majorEastAsia" w:eastAsiaTheme="majorEastAsia" w:cstheme="majorEastAsia"/>
          <w:b w:val="0"/>
          <w:i w:val="0"/>
          <w:caps w:val="0"/>
          <w:color w:val="333333"/>
          <w:spacing w:val="0"/>
          <w:sz w:val="24"/>
          <w:szCs w:val="24"/>
        </w:rPr>
        <w:t>）</w:t>
      </w:r>
      <w:r>
        <w:rPr>
          <w:rFonts w:hint="eastAsia" w:asciiTheme="majorEastAsia" w:hAnsiTheme="majorEastAsia" w:eastAsiaTheme="majorEastAsia" w:cstheme="majorEastAsia"/>
          <w:b w:val="0"/>
          <w:i w:val="0"/>
          <w:caps w:val="0"/>
          <w:color w:val="333333"/>
          <w:spacing w:val="0"/>
          <w:sz w:val="24"/>
          <w:szCs w:val="24"/>
          <w:lang w:val="en-US" w:eastAsia="zh-CN"/>
        </w:rPr>
        <w:t>获</w:t>
      </w:r>
      <w:r>
        <w:rPr>
          <w:rFonts w:ascii="Arial" w:hAnsi="Arial" w:cs="Arial"/>
          <w:b w:val="0"/>
          <w:i w:val="0"/>
          <w:caps w:val="0"/>
          <w:color w:val="333333"/>
          <w:spacing w:val="0"/>
          <w:sz w:val="24"/>
          <w:szCs w:val="24"/>
        </w:rPr>
        <w:t>取</w:t>
      </w:r>
      <w:r>
        <w:rPr>
          <w:rFonts w:hint="eastAsia" w:ascii="Arial" w:hAnsi="Arial" w:cs="Arial"/>
          <w:b w:val="0"/>
          <w:i w:val="0"/>
          <w:caps w:val="0"/>
          <w:color w:val="333333"/>
          <w:spacing w:val="0"/>
          <w:sz w:val="24"/>
          <w:szCs w:val="24"/>
          <w:lang w:val="en-US" w:eastAsia="zh-CN"/>
        </w:rPr>
        <w:t>询价</w:t>
      </w:r>
      <w:r>
        <w:rPr>
          <w:rFonts w:ascii="Arial" w:hAnsi="Arial" w:cs="Arial"/>
          <w:b w:val="0"/>
          <w:i w:val="0"/>
          <w:caps w:val="0"/>
          <w:color w:val="333333"/>
          <w:spacing w:val="0"/>
          <w:sz w:val="24"/>
          <w:szCs w:val="24"/>
        </w:rPr>
        <w:t>资料。</w:t>
      </w:r>
    </w:p>
    <w:p>
      <w:pPr>
        <w:pStyle w:val="17"/>
        <w:spacing w:line="360" w:lineRule="auto"/>
        <w:ind w:firstLine="480" w:firstLineChars="200"/>
        <w:jc w:val="left"/>
        <w:rPr>
          <w:rFonts w:hAnsi="宋体"/>
          <w:sz w:val="24"/>
        </w:rPr>
      </w:pPr>
      <w:r>
        <w:rPr>
          <w:rFonts w:hAnsi="宋体"/>
          <w:sz w:val="24"/>
        </w:rPr>
        <w:t>6</w:t>
      </w:r>
      <w:r>
        <w:rPr>
          <w:rFonts w:hint="eastAsia" w:hAnsi="宋体"/>
          <w:sz w:val="24"/>
        </w:rPr>
        <w:t>、</w:t>
      </w:r>
      <w:r>
        <w:rPr>
          <w:rFonts w:hint="eastAsia" w:ascii="宋体" w:hAnsi="宋体"/>
          <w:color w:val="auto"/>
          <w:sz w:val="24"/>
          <w:szCs w:val="18"/>
        </w:rPr>
        <w:t>询价供应商</w:t>
      </w:r>
      <w:r>
        <w:rPr>
          <w:rFonts w:hint="eastAsia" w:hAnsi="宋体"/>
          <w:color w:val="auto"/>
          <w:sz w:val="24"/>
          <w:highlight w:val="none"/>
        </w:rPr>
        <w:t>须在询价通知书</w:t>
      </w:r>
      <w:r>
        <w:rPr>
          <w:rFonts w:hint="eastAsia" w:hAnsi="宋体"/>
          <w:color w:val="auto"/>
          <w:sz w:val="24"/>
          <w:highlight w:val="none"/>
          <w:lang w:val="en-US" w:eastAsia="zh-CN"/>
        </w:rPr>
        <w:t>获取</w:t>
      </w:r>
      <w:r>
        <w:rPr>
          <w:rFonts w:hint="eastAsia" w:hAnsi="宋体"/>
          <w:color w:val="auto"/>
          <w:sz w:val="24"/>
          <w:highlight w:val="none"/>
        </w:rPr>
        <w:t>截止时间前</w:t>
      </w:r>
      <w:r>
        <w:rPr>
          <w:rFonts w:hint="eastAsia" w:hAnsi="宋体"/>
          <w:color w:val="auto"/>
          <w:sz w:val="24"/>
          <w:highlight w:val="none"/>
          <w:lang w:val="en-US" w:eastAsia="zh-CN"/>
        </w:rPr>
        <w:t>将</w:t>
      </w:r>
      <w:r>
        <w:rPr>
          <w:rFonts w:hint="eastAsia" w:hAnsi="宋体"/>
          <w:b/>
          <w:bCs/>
          <w:color w:val="auto"/>
          <w:sz w:val="24"/>
          <w:highlight w:val="none"/>
          <w:lang w:val="en-US" w:eastAsia="zh-CN"/>
        </w:rPr>
        <w:t>附件2《</w:t>
      </w:r>
      <w:r>
        <w:rPr>
          <w:rFonts w:hint="eastAsia"/>
          <w:b/>
          <w:bCs/>
          <w:color w:val="auto"/>
          <w:sz w:val="24"/>
          <w:highlight w:val="none"/>
        </w:rPr>
        <w:t>询价通知书</w:t>
      </w:r>
      <w:r>
        <w:rPr>
          <w:rFonts w:hint="eastAsia"/>
          <w:b/>
          <w:bCs/>
          <w:color w:val="auto"/>
          <w:sz w:val="24"/>
          <w:highlight w:val="none"/>
          <w:lang w:val="en-US" w:eastAsia="zh-CN"/>
        </w:rPr>
        <w:t>报名</w:t>
      </w:r>
      <w:r>
        <w:rPr>
          <w:rFonts w:hint="eastAsia"/>
          <w:b/>
          <w:bCs/>
          <w:color w:val="auto"/>
          <w:sz w:val="24"/>
          <w:highlight w:val="none"/>
        </w:rPr>
        <w:t>情况表</w:t>
      </w:r>
      <w:r>
        <w:rPr>
          <w:rFonts w:hint="eastAsia"/>
          <w:b/>
          <w:bCs/>
          <w:color w:val="auto"/>
          <w:sz w:val="24"/>
          <w:highlight w:val="none"/>
          <w:lang w:eastAsia="zh-CN"/>
        </w:rPr>
        <w:t>》</w:t>
      </w:r>
      <w:r>
        <w:rPr>
          <w:rFonts w:hint="eastAsia"/>
          <w:b/>
          <w:bCs/>
          <w:color w:val="auto"/>
          <w:sz w:val="24"/>
          <w:highlight w:val="none"/>
          <w:lang w:val="en-US" w:eastAsia="zh-CN"/>
        </w:rPr>
        <w:t>发至指定邮箱（邮箱:2836464566@qq.com）</w:t>
      </w:r>
      <w:r>
        <w:rPr>
          <w:rFonts w:hint="eastAsia" w:hAnsi="宋体"/>
          <w:color w:val="auto"/>
          <w:sz w:val="24"/>
          <w:highlight w:val="none"/>
        </w:rPr>
        <w:t>并与招标代理机构确认</w:t>
      </w:r>
      <w:r>
        <w:rPr>
          <w:rFonts w:hint="eastAsia" w:hAnsi="宋体"/>
          <w:color w:val="auto"/>
          <w:sz w:val="24"/>
          <w:highlight w:val="none"/>
          <w:lang w:val="en-US" w:eastAsia="zh-CN"/>
        </w:rPr>
        <w:t>后视为报名成功</w:t>
      </w:r>
      <w:r>
        <w:rPr>
          <w:rFonts w:hint="eastAsia" w:hAnsi="宋体"/>
          <w:color w:val="auto"/>
          <w:sz w:val="24"/>
          <w:highlight w:val="none"/>
        </w:rPr>
        <w:t>，未经报名确认的，均视为未报名投标）。</w:t>
      </w:r>
    </w:p>
    <w:p>
      <w:pPr>
        <w:spacing w:line="360" w:lineRule="auto"/>
        <w:ind w:firstLine="480" w:firstLineChars="200"/>
        <w:rPr>
          <w:rFonts w:ascii="宋体"/>
          <w:sz w:val="24"/>
        </w:rPr>
      </w:pPr>
      <w:r>
        <w:rPr>
          <w:rFonts w:ascii="宋体" w:hAnsi="宋体"/>
          <w:sz w:val="24"/>
        </w:rPr>
        <w:t>7</w:t>
      </w:r>
      <w:r>
        <w:rPr>
          <w:rFonts w:hint="eastAsia" w:ascii="宋体" w:hAnsi="宋体"/>
          <w:sz w:val="24"/>
        </w:rPr>
        <w:t>、递交询价响应文件（含相关原件）地点、开始及截止时间：</w:t>
      </w:r>
    </w:p>
    <w:p>
      <w:pPr>
        <w:spacing w:line="360" w:lineRule="auto"/>
        <w:ind w:firstLine="480" w:firstLineChars="200"/>
        <w:rPr>
          <w:rFonts w:ascii="宋体"/>
          <w:color w:val="auto"/>
          <w:sz w:val="24"/>
        </w:rPr>
      </w:pPr>
      <w:r>
        <w:rPr>
          <w:rFonts w:hint="eastAsia" w:ascii="宋体" w:hAnsi="宋体"/>
          <w:sz w:val="24"/>
        </w:rPr>
        <w:t>递</w:t>
      </w:r>
      <w:r>
        <w:rPr>
          <w:rFonts w:hint="eastAsia" w:ascii="宋体" w:hAnsi="宋体"/>
          <w:color w:val="auto"/>
          <w:sz w:val="24"/>
        </w:rPr>
        <w:t>交询价响应文件地点：</w:t>
      </w:r>
      <w:r>
        <w:rPr>
          <w:rFonts w:hint="eastAsia" w:ascii="宋体" w:hAnsi="宋体"/>
          <w:color w:val="auto"/>
          <w:sz w:val="24"/>
          <w:lang w:eastAsia="zh-CN"/>
        </w:rPr>
        <w:t>随行易交易（龙岩）公共资源交易平台（龙岩市新罗区龙岩大道商务板块龙工大厦3楼）</w:t>
      </w:r>
      <w:r>
        <w:rPr>
          <w:rFonts w:hint="eastAsia" w:ascii="宋体" w:hAnsi="宋体"/>
          <w:color w:val="auto"/>
          <w:sz w:val="24"/>
        </w:rPr>
        <w:t>。</w:t>
      </w:r>
    </w:p>
    <w:p>
      <w:pPr>
        <w:spacing w:line="360" w:lineRule="auto"/>
        <w:ind w:firstLine="480" w:firstLineChars="200"/>
        <w:rPr>
          <w:rFonts w:ascii="Arial" w:hAnsi="Arial" w:cs="Arial"/>
          <w:color w:val="auto"/>
          <w:sz w:val="24"/>
        </w:rPr>
      </w:pPr>
      <w:r>
        <w:rPr>
          <w:rFonts w:hint="eastAsia" w:ascii="宋体" w:hAnsi="宋体"/>
          <w:color w:val="auto"/>
          <w:sz w:val="24"/>
        </w:rPr>
        <w:t>递交询价响应文件开始时间：</w:t>
      </w:r>
      <w:r>
        <w:rPr>
          <w:rFonts w:hint="eastAsia" w:ascii="宋体" w:hAnsi="宋体"/>
          <w:color w:val="auto"/>
          <w:sz w:val="24"/>
          <w:lang w:eastAsia="zh-CN"/>
        </w:rPr>
        <w:t>2022</w:t>
      </w:r>
      <w:r>
        <w:rPr>
          <w:rFonts w:hint="eastAsia" w:ascii="宋体" w:hAnsi="宋体"/>
          <w:color w:val="auto"/>
          <w:sz w:val="24"/>
        </w:rPr>
        <w:t>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25</w:t>
      </w:r>
      <w:r>
        <w:rPr>
          <w:rFonts w:hint="eastAsia" w:ascii="宋体" w:hAnsi="宋体"/>
          <w:color w:val="auto"/>
          <w:sz w:val="24"/>
        </w:rPr>
        <w:t>日</w:t>
      </w:r>
      <w:r>
        <w:rPr>
          <w:rFonts w:hint="eastAsia" w:ascii="宋体" w:hAnsi="宋体"/>
          <w:color w:val="auto"/>
          <w:sz w:val="24"/>
          <w:lang w:val="en-US" w:eastAsia="zh-CN"/>
        </w:rPr>
        <w:t>08</w:t>
      </w:r>
      <w:r>
        <w:rPr>
          <w:rFonts w:ascii="宋体" w:hAnsi="宋体"/>
          <w:color w:val="auto"/>
          <w:sz w:val="24"/>
        </w:rPr>
        <w:t>:30</w:t>
      </w:r>
      <w:r>
        <w:rPr>
          <w:rFonts w:hint="eastAsia" w:ascii="宋体" w:hAnsi="宋体"/>
          <w:color w:val="auto"/>
          <w:sz w:val="24"/>
        </w:rPr>
        <w:t>；</w:t>
      </w:r>
      <w:r>
        <w:rPr>
          <w:rFonts w:hint="eastAsia" w:ascii="宋体" w:hAnsi="宋体"/>
          <w:color w:val="auto"/>
          <w:sz w:val="24"/>
          <w:szCs w:val="28"/>
        </w:rPr>
        <w:t>（北京时间）</w:t>
      </w:r>
    </w:p>
    <w:p>
      <w:pPr>
        <w:spacing w:line="360" w:lineRule="auto"/>
        <w:ind w:firstLine="480" w:firstLineChars="200"/>
        <w:rPr>
          <w:rFonts w:ascii="Arial" w:hAnsi="Arial" w:cs="Arial"/>
          <w:color w:val="auto"/>
          <w:sz w:val="24"/>
        </w:rPr>
      </w:pPr>
      <w:r>
        <w:rPr>
          <w:rFonts w:hint="eastAsia" w:ascii="宋体" w:hAnsi="宋体"/>
          <w:color w:val="auto"/>
          <w:sz w:val="24"/>
        </w:rPr>
        <w:t>递交询价响应文件截止时间：</w:t>
      </w:r>
      <w:r>
        <w:rPr>
          <w:rFonts w:hint="eastAsia" w:ascii="宋体" w:hAnsi="宋体"/>
          <w:color w:val="auto"/>
          <w:sz w:val="24"/>
          <w:lang w:eastAsia="zh-CN"/>
        </w:rPr>
        <w:t>2022</w:t>
      </w:r>
      <w:r>
        <w:rPr>
          <w:rFonts w:hint="eastAsia" w:ascii="宋体" w:hAnsi="宋体"/>
          <w:color w:val="auto"/>
          <w:sz w:val="24"/>
        </w:rPr>
        <w:t>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25</w:t>
      </w:r>
      <w:r>
        <w:rPr>
          <w:rFonts w:hint="eastAsia" w:ascii="宋体" w:hAnsi="宋体"/>
          <w:color w:val="auto"/>
          <w:sz w:val="24"/>
        </w:rPr>
        <w:t>日</w:t>
      </w:r>
      <w:r>
        <w:rPr>
          <w:rFonts w:hint="eastAsia" w:ascii="宋体" w:hAnsi="宋体"/>
          <w:color w:val="auto"/>
          <w:sz w:val="24"/>
          <w:lang w:val="en-US" w:eastAsia="zh-CN"/>
        </w:rPr>
        <w:t>09</w:t>
      </w:r>
      <w:r>
        <w:rPr>
          <w:rFonts w:ascii="宋体" w:hAnsi="宋体"/>
          <w:color w:val="auto"/>
          <w:sz w:val="24"/>
        </w:rPr>
        <w:t>:00</w:t>
      </w:r>
      <w:r>
        <w:rPr>
          <w:rFonts w:hint="eastAsia" w:ascii="Arial" w:hAnsi="宋体" w:cs="Arial"/>
          <w:color w:val="auto"/>
          <w:sz w:val="24"/>
        </w:rPr>
        <w:t>；</w:t>
      </w:r>
      <w:r>
        <w:rPr>
          <w:rFonts w:hint="eastAsia" w:ascii="宋体" w:hAnsi="宋体"/>
          <w:color w:val="auto"/>
          <w:sz w:val="24"/>
          <w:szCs w:val="28"/>
        </w:rPr>
        <w:t>（北京时间）</w:t>
      </w:r>
    </w:p>
    <w:p>
      <w:pPr>
        <w:spacing w:line="360" w:lineRule="auto"/>
        <w:ind w:firstLine="480" w:firstLineChars="200"/>
        <w:rPr>
          <w:rFonts w:ascii="宋体"/>
          <w:color w:val="auto"/>
          <w:sz w:val="24"/>
        </w:rPr>
      </w:pPr>
      <w:r>
        <w:rPr>
          <w:rFonts w:hint="eastAsia" w:ascii="宋体" w:hAnsi="宋体"/>
          <w:color w:val="auto"/>
          <w:sz w:val="24"/>
        </w:rPr>
        <w:t>逾期收到的或不符合规定的询价响应文件将被拒绝。递交询价响应文件截止时间以接受询价响应文件地点时钟显示的时间为准。</w:t>
      </w:r>
    </w:p>
    <w:p>
      <w:pPr>
        <w:spacing w:line="360" w:lineRule="auto"/>
        <w:ind w:firstLine="480" w:firstLineChars="200"/>
        <w:rPr>
          <w:rFonts w:ascii="宋体"/>
          <w:color w:val="auto"/>
          <w:sz w:val="24"/>
        </w:rPr>
      </w:pPr>
      <w:r>
        <w:rPr>
          <w:rFonts w:ascii="宋体" w:hAnsi="宋体"/>
          <w:color w:val="auto"/>
          <w:sz w:val="24"/>
        </w:rPr>
        <w:t>8</w:t>
      </w:r>
      <w:r>
        <w:rPr>
          <w:rFonts w:hint="eastAsia" w:ascii="宋体" w:hAnsi="宋体"/>
          <w:color w:val="auto"/>
          <w:sz w:val="24"/>
        </w:rPr>
        <w:t>、询价开始时间、询价地点</w:t>
      </w:r>
      <w:r>
        <w:rPr>
          <w:rFonts w:ascii="宋体" w:hAnsi="宋体"/>
          <w:color w:val="auto"/>
          <w:sz w:val="24"/>
        </w:rPr>
        <w:t>:</w:t>
      </w:r>
    </w:p>
    <w:p>
      <w:pPr>
        <w:spacing w:line="360" w:lineRule="auto"/>
        <w:ind w:firstLine="480" w:firstLineChars="200"/>
        <w:rPr>
          <w:rFonts w:ascii="Arial" w:hAnsi="Arial" w:cs="Arial"/>
          <w:color w:val="auto"/>
          <w:sz w:val="24"/>
        </w:rPr>
      </w:pPr>
      <w:r>
        <w:rPr>
          <w:rFonts w:hint="eastAsia" w:ascii="宋体" w:hAnsi="宋体"/>
          <w:color w:val="auto"/>
          <w:sz w:val="24"/>
        </w:rPr>
        <w:t>询价开始时间</w:t>
      </w:r>
      <w:r>
        <w:rPr>
          <w:rFonts w:hint="eastAsia" w:ascii="Arial" w:hAnsi="宋体" w:cs="Arial"/>
          <w:color w:val="auto"/>
          <w:sz w:val="24"/>
        </w:rPr>
        <w:t>：</w:t>
      </w:r>
      <w:r>
        <w:rPr>
          <w:rFonts w:hint="eastAsia" w:ascii="宋体" w:hAnsi="宋体"/>
          <w:color w:val="auto"/>
          <w:sz w:val="24"/>
          <w:lang w:eastAsia="zh-CN"/>
        </w:rPr>
        <w:t>2022</w:t>
      </w:r>
      <w:r>
        <w:rPr>
          <w:rFonts w:hint="eastAsia" w:ascii="宋体" w:hAnsi="宋体"/>
          <w:color w:val="auto"/>
          <w:sz w:val="24"/>
        </w:rPr>
        <w:t>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25</w:t>
      </w:r>
      <w:r>
        <w:rPr>
          <w:rFonts w:hint="eastAsia" w:ascii="宋体" w:hAnsi="宋体"/>
          <w:color w:val="auto"/>
          <w:sz w:val="24"/>
        </w:rPr>
        <w:t>日</w:t>
      </w:r>
      <w:r>
        <w:rPr>
          <w:rFonts w:hint="eastAsia" w:ascii="宋体" w:hAnsi="宋体"/>
          <w:color w:val="auto"/>
          <w:sz w:val="24"/>
          <w:lang w:val="en-US" w:eastAsia="zh-CN"/>
        </w:rPr>
        <w:t>09:00</w:t>
      </w:r>
      <w:r>
        <w:rPr>
          <w:rFonts w:hint="eastAsia" w:ascii="Arial" w:hAnsi="Arial" w:cs="Arial"/>
          <w:color w:val="auto"/>
          <w:sz w:val="24"/>
        </w:rPr>
        <w:t>；</w:t>
      </w:r>
    </w:p>
    <w:p>
      <w:pPr>
        <w:spacing w:line="360" w:lineRule="auto"/>
        <w:ind w:firstLine="480" w:firstLineChars="200"/>
        <w:rPr>
          <w:rFonts w:ascii="宋体"/>
          <w:color w:val="auto"/>
          <w:sz w:val="24"/>
        </w:rPr>
      </w:pPr>
      <w:r>
        <w:rPr>
          <w:rFonts w:hint="eastAsia" w:ascii="宋体" w:hAnsi="宋体"/>
          <w:color w:val="auto"/>
          <w:sz w:val="24"/>
        </w:rPr>
        <w:t>询价地点：</w:t>
      </w:r>
      <w:r>
        <w:rPr>
          <w:rFonts w:hint="eastAsia" w:ascii="宋体" w:hAnsi="宋体" w:cs="宋体"/>
          <w:color w:val="auto"/>
          <w:sz w:val="24"/>
          <w:u w:val="none"/>
          <w:lang w:eastAsia="zh-CN"/>
        </w:rPr>
        <w:t>随行易交易（龙岩）公共资源交易平台（龙岩市新罗区龙岩大道商务板块龙工大厦3楼）</w:t>
      </w:r>
      <w:r>
        <w:rPr>
          <w:rFonts w:hint="eastAsia" w:ascii="宋体" w:hAnsi="宋体"/>
          <w:color w:val="auto"/>
          <w:sz w:val="24"/>
        </w:rPr>
        <w:t>。</w:t>
      </w:r>
    </w:p>
    <w:p>
      <w:pPr>
        <w:spacing w:line="360" w:lineRule="auto"/>
        <w:ind w:firstLine="480" w:firstLineChars="200"/>
        <w:rPr>
          <w:rFonts w:ascii="宋体"/>
          <w:sz w:val="24"/>
        </w:rPr>
      </w:pPr>
      <w:r>
        <w:rPr>
          <w:rFonts w:ascii="宋体" w:hAnsi="宋体"/>
          <w:sz w:val="24"/>
        </w:rPr>
        <w:t>9</w:t>
      </w:r>
      <w:r>
        <w:rPr>
          <w:rFonts w:hint="eastAsia" w:ascii="宋体" w:hAnsi="宋体"/>
          <w:sz w:val="24"/>
        </w:rPr>
        <w:t>、供应商对本次询价活动事项提出疑问的，请在递交询价响应文件截止时间</w:t>
      </w:r>
      <w:r>
        <w:rPr>
          <w:rFonts w:ascii="宋体" w:hAnsi="宋体"/>
          <w:sz w:val="24"/>
        </w:rPr>
        <w:t>2</w:t>
      </w:r>
      <w:r>
        <w:rPr>
          <w:rFonts w:hint="eastAsia" w:ascii="宋体" w:hAnsi="宋体"/>
          <w:sz w:val="24"/>
        </w:rPr>
        <w:t>个</w:t>
      </w:r>
      <w:r>
        <w:rPr>
          <w:rFonts w:hint="eastAsia" w:ascii="宋体" w:hAnsi="宋体"/>
          <w:bCs/>
          <w:sz w:val="24"/>
        </w:rPr>
        <w:t>工作日</w:t>
      </w:r>
      <w:r>
        <w:rPr>
          <w:rFonts w:hint="eastAsia" w:ascii="宋体" w:hAnsi="宋体"/>
          <w:sz w:val="24"/>
        </w:rPr>
        <w:t>之前</w:t>
      </w:r>
      <w:r>
        <w:rPr>
          <w:rFonts w:ascii="宋体" w:hAnsi="宋体"/>
          <w:sz w:val="24"/>
        </w:rPr>
        <w:t xml:space="preserve">, </w:t>
      </w:r>
      <w:r>
        <w:rPr>
          <w:rFonts w:hint="eastAsia" w:ascii="宋体" w:hAnsi="宋体"/>
          <w:sz w:val="24"/>
        </w:rPr>
        <w:t>以书面、信函原件的形式与招标代理机构联系。</w:t>
      </w:r>
    </w:p>
    <w:p>
      <w:pPr>
        <w:wordWrap w:val="0"/>
        <w:spacing w:line="360" w:lineRule="auto"/>
        <w:ind w:firstLine="480" w:firstLineChars="200"/>
        <w:rPr>
          <w:rFonts w:ascii="宋体"/>
          <w:bCs/>
          <w:sz w:val="24"/>
        </w:rPr>
      </w:pPr>
      <w:r>
        <w:rPr>
          <w:rFonts w:ascii="宋体" w:hAnsi="宋体"/>
          <w:bCs/>
          <w:sz w:val="24"/>
        </w:rPr>
        <w:t>1</w:t>
      </w:r>
      <w:r>
        <w:rPr>
          <w:rFonts w:ascii="宋体"/>
          <w:bCs/>
          <w:sz w:val="24"/>
        </w:rPr>
        <w:t>0</w:t>
      </w:r>
      <w:r>
        <w:rPr>
          <w:rFonts w:hint="eastAsia" w:ascii="宋体" w:hAnsi="宋体"/>
          <w:bCs/>
          <w:sz w:val="24"/>
        </w:rPr>
        <w:t>、以上如有变更，</w:t>
      </w:r>
      <w:r>
        <w:rPr>
          <w:rFonts w:ascii="宋体" w:hAnsi="宋体"/>
          <w:sz w:val="24"/>
        </w:rPr>
        <w:t>[</w:t>
      </w:r>
      <w:r>
        <w:rPr>
          <w:rFonts w:hint="eastAsia" w:ascii="宋体" w:hAnsi="宋体"/>
          <w:sz w:val="24"/>
        </w:rPr>
        <w:t>招标代理机构</w:t>
      </w:r>
      <w:r>
        <w:rPr>
          <w:rFonts w:ascii="宋体" w:hAnsi="宋体"/>
          <w:sz w:val="24"/>
        </w:rPr>
        <w:t>]</w:t>
      </w:r>
      <w:r>
        <w:rPr>
          <w:rFonts w:hint="eastAsia" w:ascii="宋体" w:hAnsi="宋体"/>
          <w:sz w:val="24"/>
        </w:rPr>
        <w:t>会通过</w:t>
      </w:r>
      <w:r>
        <w:rPr>
          <w:rFonts w:hint="eastAsia" w:ascii="宋体" w:hAnsi="宋体"/>
          <w:sz w:val="24"/>
          <w:lang w:val="en-US" w:eastAsia="zh-CN"/>
        </w:rPr>
        <w:t>龙岩城市发展集团有限公司官方网站（http://www.lycfjt.com/）、龙岩智发科技有限责任公司（https://zhifaly.com/）</w:t>
      </w:r>
      <w:r>
        <w:rPr>
          <w:rFonts w:hint="eastAsia" w:ascii="宋体" w:hAnsi="宋体"/>
          <w:sz w:val="24"/>
        </w:rPr>
        <w:t>通知，请供应商关注</w:t>
      </w:r>
      <w:r>
        <w:rPr>
          <w:rFonts w:hint="eastAsia" w:ascii="宋体" w:hAnsi="宋体"/>
          <w:bCs/>
          <w:sz w:val="24"/>
        </w:rPr>
        <w:t>。</w:t>
      </w:r>
    </w:p>
    <w:p>
      <w:pPr>
        <w:spacing w:line="360" w:lineRule="auto"/>
        <w:ind w:firstLine="480" w:firstLineChars="200"/>
        <w:rPr>
          <w:rFonts w:hint="eastAsia" w:ascii="宋体" w:eastAsia="宋体"/>
          <w:b/>
          <w:bCs/>
          <w:sz w:val="24"/>
          <w:lang w:eastAsia="zh-CN"/>
        </w:rPr>
      </w:pPr>
      <w:r>
        <w:rPr>
          <w:rFonts w:ascii="宋体" w:hAnsi="宋体"/>
          <w:bCs/>
          <w:sz w:val="24"/>
        </w:rPr>
        <w:t>11</w:t>
      </w:r>
      <w:r>
        <w:rPr>
          <w:rFonts w:hint="eastAsia" w:ascii="宋体" w:hAnsi="宋体"/>
          <w:bCs/>
          <w:sz w:val="24"/>
        </w:rPr>
        <w:t>、</w:t>
      </w:r>
      <w:r>
        <w:rPr>
          <w:rFonts w:hint="eastAsia" w:ascii="宋体" w:hAnsi="宋体"/>
          <w:b/>
          <w:bCs/>
          <w:sz w:val="24"/>
        </w:rPr>
        <w:t>采购单位：</w:t>
      </w:r>
      <w:r>
        <w:rPr>
          <w:rFonts w:hint="eastAsia" w:ascii="宋体" w:hAnsi="宋体"/>
          <w:b/>
          <w:bCs/>
          <w:sz w:val="24"/>
          <w:lang w:eastAsia="zh-CN"/>
        </w:rPr>
        <w:t xml:space="preserve">龙岩智发科技有限责任公司 </w:t>
      </w:r>
    </w:p>
    <w:p>
      <w:pPr>
        <w:spacing w:line="360" w:lineRule="auto"/>
        <w:ind w:firstLine="480" w:firstLineChars="200"/>
        <w:rPr>
          <w:rFonts w:hint="default" w:ascii="宋体" w:eastAsia="宋体"/>
          <w:color w:val="auto"/>
          <w:sz w:val="24"/>
          <w:lang w:val="en-US" w:eastAsia="zh-CN"/>
        </w:rPr>
      </w:pPr>
      <w:r>
        <w:rPr>
          <w:rFonts w:hint="eastAsia" w:ascii="宋体" w:hAnsi="宋体"/>
          <w:color w:val="auto"/>
          <w:sz w:val="24"/>
        </w:rPr>
        <w:t>联系人：</w:t>
      </w:r>
      <w:r>
        <w:rPr>
          <w:rFonts w:hint="eastAsia" w:ascii="宋体" w:hAnsi="宋体"/>
          <w:color w:val="auto"/>
          <w:sz w:val="24"/>
          <w:lang w:val="en-US" w:eastAsia="zh-CN"/>
        </w:rPr>
        <w:t>陈丽娜</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电话：0597-2991863  </w:t>
      </w:r>
    </w:p>
    <w:p>
      <w:pPr>
        <w:spacing w:line="360" w:lineRule="auto"/>
        <w:ind w:left="479" w:leftChars="228" w:firstLine="0" w:firstLineChars="0"/>
        <w:jc w:val="left"/>
        <w:rPr>
          <w:rFonts w:ascii="宋体"/>
          <w:color w:val="auto"/>
          <w:sz w:val="24"/>
        </w:rPr>
      </w:pPr>
      <w:r>
        <w:rPr>
          <w:rFonts w:hint="eastAsia" w:ascii="宋体" w:hAnsi="宋体"/>
          <w:color w:val="auto"/>
          <w:sz w:val="24"/>
        </w:rPr>
        <w:t xml:space="preserve">地址：福建省龙岩市新罗区西陂街道华莲社区天平路19-3号 </w:t>
      </w:r>
      <w:r>
        <w:rPr>
          <w:rFonts w:hint="eastAsia" w:ascii="宋体" w:hAnsi="宋体"/>
          <w:color w:val="auto"/>
          <w:sz w:val="24"/>
          <w:lang w:val="en-US" w:eastAsia="zh-CN"/>
        </w:rPr>
        <w:t xml:space="preserve">                       </w:t>
      </w:r>
      <w:r>
        <w:rPr>
          <w:rFonts w:ascii="宋体" w:hAnsi="宋体"/>
          <w:color w:val="auto"/>
          <w:sz w:val="24"/>
        </w:rPr>
        <w:t xml:space="preserve">    </w:t>
      </w:r>
      <w:r>
        <w:rPr>
          <w:rFonts w:hint="eastAsia" w:ascii="宋体" w:hAnsi="宋体"/>
          <w:color w:val="auto"/>
          <w:sz w:val="24"/>
        </w:rPr>
        <w:t>邮编：</w:t>
      </w:r>
      <w:r>
        <w:rPr>
          <w:rFonts w:ascii="宋体" w:hAnsi="宋体"/>
          <w:color w:val="auto"/>
          <w:sz w:val="24"/>
        </w:rPr>
        <w:t>364000</w:t>
      </w:r>
    </w:p>
    <w:p>
      <w:pPr>
        <w:spacing w:line="360" w:lineRule="auto"/>
        <w:ind w:firstLine="482" w:firstLineChars="200"/>
        <w:rPr>
          <w:rFonts w:hint="eastAsia" w:ascii="宋体" w:hAnsi="宋体"/>
          <w:b/>
          <w:sz w:val="24"/>
        </w:rPr>
      </w:pPr>
    </w:p>
    <w:p>
      <w:pPr>
        <w:spacing w:line="360" w:lineRule="auto"/>
        <w:ind w:firstLine="482" w:firstLineChars="200"/>
        <w:rPr>
          <w:rFonts w:hint="eastAsia" w:ascii="宋体" w:eastAsia="宋体"/>
          <w:b/>
          <w:sz w:val="24"/>
          <w:lang w:eastAsia="zh-CN"/>
        </w:rPr>
      </w:pPr>
      <w:r>
        <w:rPr>
          <w:rFonts w:hint="eastAsia" w:ascii="宋体" w:hAnsi="宋体"/>
          <w:b/>
          <w:sz w:val="24"/>
        </w:rPr>
        <w:t>招标代理机构</w:t>
      </w:r>
      <w:r>
        <w:rPr>
          <w:rFonts w:hint="eastAsia" w:ascii="宋体" w:hAnsi="宋体"/>
          <w:b/>
          <w:sz w:val="24"/>
          <w:lang w:eastAsia="zh-CN"/>
        </w:rPr>
        <w:t>：龙岩城发工程造价咨询服务有限公司</w:t>
      </w:r>
    </w:p>
    <w:p>
      <w:pPr>
        <w:spacing w:line="360" w:lineRule="auto"/>
        <w:ind w:firstLine="480" w:firstLineChars="200"/>
        <w:rPr>
          <w:rFonts w:hint="eastAsia" w:ascii="宋体" w:eastAsia="宋体"/>
          <w:sz w:val="24"/>
          <w:lang w:eastAsia="zh-CN"/>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w:t>
      </w:r>
      <w:r>
        <w:rPr>
          <w:rFonts w:hint="eastAsia" w:ascii="宋体" w:hAnsi="宋体"/>
          <w:sz w:val="24"/>
          <w:lang w:eastAsia="zh-CN"/>
        </w:rPr>
        <w:t>龙岩市新罗区华莲路138号金融中心A1A2幢5楼502室</w:t>
      </w:r>
    </w:p>
    <w:p>
      <w:pPr>
        <w:spacing w:line="360" w:lineRule="auto"/>
        <w:ind w:firstLine="480" w:firstLineChars="200"/>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364000</w:t>
      </w:r>
    </w:p>
    <w:p>
      <w:pPr>
        <w:spacing w:line="360" w:lineRule="auto"/>
        <w:ind w:firstLine="480" w:firstLineChars="200"/>
        <w:rPr>
          <w:rFonts w:hint="default" w:ascii="宋体" w:eastAsia="宋体"/>
          <w:sz w:val="24"/>
          <w:lang w:val="en-US" w:eastAsia="zh-CN"/>
        </w:rPr>
      </w:pPr>
      <w:r>
        <w:rPr>
          <w:rFonts w:hint="eastAsia" w:ascii="宋体" w:hAnsi="宋体"/>
          <w:sz w:val="24"/>
        </w:rPr>
        <w:t>项目联系人：</w:t>
      </w:r>
      <w:r>
        <w:rPr>
          <w:rFonts w:hint="eastAsia" w:ascii="宋体" w:hAnsi="宋体"/>
          <w:color w:val="auto"/>
          <w:sz w:val="24"/>
        </w:rPr>
        <w:t>曾</w:t>
      </w:r>
      <w:r>
        <w:rPr>
          <w:rFonts w:hint="eastAsia" w:ascii="宋体" w:hAnsi="宋体"/>
          <w:color w:val="auto"/>
          <w:sz w:val="24"/>
          <w:lang w:val="en-US" w:eastAsia="zh-CN"/>
        </w:rPr>
        <w:t>艳霞</w:t>
      </w:r>
    </w:p>
    <w:p>
      <w:pPr>
        <w:spacing w:line="360" w:lineRule="auto"/>
        <w:ind w:firstLine="480" w:firstLineChars="200"/>
        <w:rPr>
          <w:rFonts w:hint="default" w:ascii="宋体" w:eastAsia="宋体"/>
          <w:sz w:val="24"/>
          <w:lang w:val="en-US" w:eastAsia="zh-CN"/>
        </w:rPr>
      </w:pPr>
      <w:r>
        <w:rPr>
          <w:rFonts w:hint="eastAsia" w:ascii="宋体" w:hAnsi="宋体"/>
          <w:sz w:val="24"/>
        </w:rPr>
        <w:t>电</w:t>
      </w:r>
      <w:r>
        <w:rPr>
          <w:rFonts w:ascii="宋体" w:hAnsi="宋体"/>
          <w:sz w:val="24"/>
        </w:rPr>
        <w:t xml:space="preserve">  </w:t>
      </w:r>
      <w:r>
        <w:rPr>
          <w:rFonts w:hint="eastAsia" w:ascii="宋体" w:hAnsi="宋体"/>
          <w:sz w:val="24"/>
        </w:rPr>
        <w:t>话：</w:t>
      </w:r>
      <w:r>
        <w:rPr>
          <w:rFonts w:hint="eastAsia" w:ascii="宋体" w:hAnsi="宋体"/>
          <w:sz w:val="24"/>
          <w:lang w:val="en-US" w:eastAsia="zh-CN"/>
        </w:rPr>
        <w:t>18065972896</w:t>
      </w:r>
    </w:p>
    <w:p>
      <w:pPr>
        <w:spacing w:line="380" w:lineRule="exact"/>
        <w:ind w:firstLine="480" w:firstLineChars="200"/>
        <w:rPr>
          <w:rFonts w:hint="eastAsia" w:ascii="宋体" w:hAnsi="宋体" w:eastAsia="宋体" w:cs="宋体"/>
          <w:bCs/>
          <w:kern w:val="0"/>
          <w:sz w:val="24"/>
        </w:rPr>
      </w:pPr>
      <w:r>
        <w:rPr>
          <w:rFonts w:hint="eastAsia" w:ascii="宋体" w:hAnsi="宋体" w:eastAsia="宋体" w:cs="宋体"/>
          <w:bCs/>
          <w:kern w:val="0"/>
          <w:sz w:val="24"/>
        </w:rPr>
        <w:t>邮  箱:28364645</w:t>
      </w:r>
      <w:r>
        <w:rPr>
          <w:rFonts w:hint="eastAsia" w:ascii="宋体" w:hAnsi="宋体" w:eastAsia="宋体" w:cs="宋体"/>
          <w:bCs/>
          <w:color w:val="auto"/>
          <w:kern w:val="0"/>
          <w:sz w:val="24"/>
        </w:rPr>
        <w:t>66</w:t>
      </w:r>
      <w:r>
        <w:rPr>
          <w:rFonts w:hint="eastAsia" w:ascii="宋体" w:hAnsi="宋体" w:eastAsia="宋体" w:cs="宋体"/>
          <w:bCs/>
          <w:color w:val="auto"/>
          <w:kern w:val="0"/>
          <w:sz w:val="24"/>
          <w:highlight w:val="none"/>
        </w:rPr>
        <w:t>@qq.com</w:t>
      </w:r>
    </w:p>
    <w:p>
      <w:pPr>
        <w:spacing w:line="380" w:lineRule="exact"/>
        <w:ind w:firstLine="480" w:firstLineChars="200"/>
        <w:rPr>
          <w:rFonts w:hint="eastAsia" w:ascii="宋体" w:hAnsi="宋体" w:eastAsia="宋体" w:cs="宋体"/>
          <w:bCs/>
          <w:kern w:val="0"/>
          <w:sz w:val="24"/>
        </w:rPr>
      </w:pPr>
      <w:r>
        <w:rPr>
          <w:rFonts w:hint="eastAsia" w:ascii="宋体" w:hAnsi="宋体" w:eastAsia="宋体" w:cs="宋体"/>
          <w:bCs/>
          <w:kern w:val="0"/>
          <w:sz w:val="24"/>
        </w:rPr>
        <w:t xml:space="preserve">12、询价保证金在询价截止时间前提交，以对公账户转入以下账户：（转入时请注明询价项目编号）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开户银行：中信银行股份有限公司龙岩新罗支行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账户名称: 龙岩智发科技有限责任公司</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color w:val="auto"/>
          <w:highlight w:val="none"/>
          <w:lang w:val="en-US" w:eastAsia="zh-CN"/>
        </w:rPr>
      </w:pPr>
      <w:r>
        <w:rPr>
          <w:rFonts w:hint="eastAsia" w:ascii="宋体" w:hAnsi="宋体" w:cs="宋体"/>
          <w:color w:val="auto"/>
          <w:sz w:val="24"/>
          <w:szCs w:val="24"/>
          <w:highlight w:val="none"/>
          <w:lang w:val="en-US" w:eastAsia="zh-CN"/>
        </w:rPr>
        <w:t>账    号: 8111301012400572773</w:t>
      </w:r>
    </w:p>
    <w:p>
      <w:pPr>
        <w:spacing w:line="380" w:lineRule="exact"/>
        <w:ind w:firstLine="480" w:firstLineChars="200"/>
        <w:rPr>
          <w:rFonts w:ascii="宋体" w:cs="宋体"/>
          <w:bCs/>
          <w:kern w:val="0"/>
          <w:sz w:val="24"/>
          <w:highlight w:val="yellow"/>
          <w:u w:val="single"/>
        </w:rPr>
      </w:pPr>
    </w:p>
    <w:p>
      <w:pPr>
        <w:spacing w:line="360" w:lineRule="auto"/>
        <w:ind w:firstLine="480" w:firstLineChars="200"/>
        <w:rPr>
          <w:rFonts w:hint="eastAsia" w:ascii="宋体" w:hAnsi="宋体"/>
          <w:sz w:val="24"/>
        </w:rPr>
      </w:pPr>
    </w:p>
    <w:p>
      <w:pPr>
        <w:pStyle w:val="16"/>
        <w:rPr>
          <w:rFonts w:hint="eastAsia" w:ascii="宋体" w:hAnsi="宋体"/>
          <w:sz w:val="24"/>
        </w:rPr>
      </w:pPr>
    </w:p>
    <w:p>
      <w:pPr>
        <w:rPr>
          <w:rFonts w:hint="eastAsia" w:ascii="宋体" w:hAnsi="宋体"/>
          <w:sz w:val="24"/>
        </w:rPr>
      </w:pPr>
    </w:p>
    <w:p>
      <w:pPr>
        <w:pStyle w:val="16"/>
        <w:rPr>
          <w:rFonts w:hint="eastAsia" w:ascii="宋体" w:hAnsi="宋体"/>
          <w:sz w:val="24"/>
        </w:rPr>
      </w:pPr>
    </w:p>
    <w:p>
      <w:pPr>
        <w:rPr>
          <w:rFonts w:hint="eastAsia" w:ascii="宋体" w:hAnsi="宋体"/>
          <w:sz w:val="24"/>
        </w:rPr>
      </w:pPr>
    </w:p>
    <w:p>
      <w:pPr>
        <w:pStyle w:val="16"/>
        <w:rPr>
          <w:rFonts w:hint="eastAsia" w:ascii="宋体" w:hAnsi="宋体"/>
          <w:sz w:val="24"/>
        </w:rPr>
      </w:pPr>
    </w:p>
    <w:p>
      <w:pPr>
        <w:rPr>
          <w:rFonts w:hint="eastAsia" w:ascii="宋体" w:hAnsi="宋体"/>
          <w:sz w:val="24"/>
        </w:rPr>
      </w:pPr>
    </w:p>
    <w:p>
      <w:pPr>
        <w:pStyle w:val="16"/>
        <w:rPr>
          <w:rFonts w:hint="eastAsia" w:ascii="宋体" w:hAnsi="宋体"/>
          <w:sz w:val="24"/>
        </w:rPr>
      </w:pPr>
    </w:p>
    <w:p>
      <w:pPr>
        <w:rPr>
          <w:rFonts w:hint="eastAsia" w:ascii="宋体" w:hAnsi="宋体"/>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ascii="宋体" w:hAnsi="宋体"/>
          <w:color w:val="auto"/>
          <w:sz w:val="24"/>
        </w:rPr>
      </w:pPr>
    </w:p>
    <w:p>
      <w:pPr>
        <w:rPr>
          <w:rFonts w:hint="eastAsia" w:ascii="宋体" w:hAnsi="宋体"/>
          <w:color w:val="auto"/>
          <w:sz w:val="24"/>
        </w:rPr>
      </w:pPr>
    </w:p>
    <w:p>
      <w:pPr>
        <w:pStyle w:val="16"/>
        <w:rPr>
          <w:rFonts w:hint="eastAsia"/>
          <w:color w:val="auto"/>
        </w:rPr>
      </w:pPr>
    </w:p>
    <w:p>
      <w:pPr>
        <w:rPr>
          <w:rFonts w:hint="eastAsia" w:ascii="宋体" w:hAnsi="宋体"/>
          <w:color w:val="auto"/>
          <w:sz w:val="24"/>
        </w:rPr>
        <w:sectPr>
          <w:footerReference r:id="rId10" w:type="default"/>
          <w:pgSz w:w="11906" w:h="16838"/>
          <w:pgMar w:top="1440" w:right="1349" w:bottom="1440" w:left="1293" w:header="851" w:footer="992" w:gutter="0"/>
          <w:pgNumType w:fmt="decimal"/>
          <w:cols w:space="425" w:num="1"/>
          <w:docGrid w:type="lines" w:linePitch="312" w:charSpace="0"/>
        </w:sectPr>
      </w:pPr>
    </w:p>
    <w:p>
      <w:pPr>
        <w:pStyle w:val="5"/>
        <w:numPr>
          <w:ilvl w:val="1"/>
          <w:numId w:val="0"/>
        </w:numPr>
        <w:spacing w:before="0" w:after="0" w:line="240" w:lineRule="auto"/>
        <w:jc w:val="both"/>
        <w:rPr>
          <w:rFonts w:ascii="宋体"/>
          <w:color w:val="auto"/>
          <w:sz w:val="36"/>
        </w:rPr>
      </w:pPr>
      <w:r>
        <w:rPr>
          <w:rFonts w:hint="eastAsia" w:ascii="宋体" w:hAnsi="宋体"/>
          <w:color w:val="auto"/>
          <w:sz w:val="36"/>
          <w:lang w:val="en-US" w:eastAsia="zh-CN"/>
        </w:rPr>
        <w:t>附件1：</w:t>
      </w:r>
      <w:r>
        <w:rPr>
          <w:rFonts w:hint="eastAsia" w:ascii="宋体" w:hAnsi="宋体"/>
          <w:color w:val="auto"/>
          <w:sz w:val="36"/>
        </w:rPr>
        <w:t>询价货物一览表</w:t>
      </w:r>
    </w:p>
    <w:p>
      <w:pPr>
        <w:pStyle w:val="6"/>
        <w:ind w:firstLine="0"/>
        <w:rPr>
          <w:rFonts w:ascii="宋体"/>
          <w:color w:val="auto"/>
        </w:rPr>
      </w:pPr>
    </w:p>
    <w:p>
      <w:pPr>
        <w:pStyle w:val="6"/>
        <w:rPr>
          <w:rFonts w:ascii="宋体"/>
          <w:color w:val="auto"/>
        </w:rPr>
      </w:pPr>
      <w:r>
        <w:rPr>
          <w:rFonts w:hint="eastAsia" w:ascii="宋体" w:hAnsi="宋体"/>
          <w:color w:val="auto"/>
          <w:sz w:val="24"/>
          <w:shd w:val="clear" w:color="auto" w:fill="FFFFFF"/>
        </w:rPr>
        <w:t>金额单位：人民币元</w:t>
      </w:r>
    </w:p>
    <w:tbl>
      <w:tblPr>
        <w:tblStyle w:val="30"/>
        <w:tblW w:w="140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9"/>
        <w:gridCol w:w="1296"/>
        <w:gridCol w:w="2024"/>
        <w:gridCol w:w="2738"/>
        <w:gridCol w:w="2297"/>
        <w:gridCol w:w="885"/>
        <w:gridCol w:w="780"/>
        <w:gridCol w:w="975"/>
        <w:gridCol w:w="111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2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材料/工艺</w:t>
            </w: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采购单价（元）</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长*宽</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数目</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AI数字党建设备与系统</w:t>
            </w: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党建微服务器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(带AI党建系统)</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IP-AIO-GP-H03</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32寸AI数字画屏智能终端</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IP-TU-PS-H32</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AI党建云盒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IP-TU-YH-01</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党建工具本（专业版）</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IP-TU-GJ-03</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55寸AI数字画屏智能终端</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画屏主题套装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工具本-党务资料素材库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安装调试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设计费</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部分线路移装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296"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筑基篇</w:t>
            </w:r>
          </w:p>
        </w:tc>
        <w:tc>
          <w:tcPr>
            <w:tcW w:w="2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工艺墙底座</w:t>
            </w:r>
          </w:p>
        </w:tc>
        <w:tc>
          <w:tcPr>
            <w:tcW w:w="273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实木底座+铝塑板、木工</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545*296cm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9493.68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 牢记使命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1684.32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1.5cm厚PVC板UV打印、激光雕刻</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67*140cm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众垚创意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5F+众垚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46cm+27cm*4+8cm*10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1029.60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筑基篇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龙岩地标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2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工作模式</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底板</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530*166cm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3629.18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工作模式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组织体系</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软膜箱体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56*98cm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9058.50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布艺</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96*64cm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党员权利</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 牢记使命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2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工作模式</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底板</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530*166cm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3629.18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工作模式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组织体系</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软膜箱体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56*98cm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9058.50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布艺</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96*64cm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党员权利</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 牢记使命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公司简介</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墙面木作打底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沙滩金9mm多层实木板，+装饰边条；定制+安装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2.78X5米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5788.79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430*130cm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2305.88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LOGO+公司名称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18cm+8cm*24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一流团队</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众志成城+印章</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   活力   团结   进取</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公司简介</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征收业务</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磁吸箱体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磁吸箱体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1060.40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信息栏套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96"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电梯出口</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墙面木作打底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沙滩金9mm多层实木板，+装饰边条；定制+安装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2.78X5米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5788.79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5568.75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众志成城</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1393.92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2221.56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122*270cm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1449.36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48+38+42+44cm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五角星</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弧度湾条</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43*100cm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墙面木作打底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沙滩金9mm多层实木板，+装饰边条；定制+安装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2.96X5.51米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6788.30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430*145cm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2571.94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公司名称+横线</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140*120cm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739.20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员工守则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130*120cm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686.40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49*79.5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10周年企业党建文化提炼，设计图展</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有声文化墙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有声文化墙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广告饰面+二维码有声系统</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17111.6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17111.60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党建书屋</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木作+铝塑板+柜体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木作+铝塑板+柜体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440*262cm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12186.25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博学善思</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求真务实</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读人生 修养之味+党徽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8cm*14+13cm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初心+使命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50cm+61cm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549.45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菱形框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34+57+62+34cm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925.65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党建书屋</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龙岩地标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荣誉墙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木作+铝塑板+柜体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木作柜子+铝塑板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682*262cm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1248.5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22310.70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发扬冲冲冲工作风</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1346.40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 亚克力UV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31cm+21cm*4+6cm*9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我们的荣誉</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14cm*3+56cm+72cm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筑城篇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665*167cm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11.1055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4581.02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梦想聚团队</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品质成就未来</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144+130cm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亚克力照片盒子</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1260.05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共筑中国梦</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500*170cm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3506.25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共筑中国梦</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104*170cm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777.92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红旗飘带</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147*120cm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776.16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对党忠诚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三个心形</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2cm厚PVC板UV打印雕刻+裱水晶膜</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1359.60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筑廉篇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398*155cm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2544.71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树枝</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从严治党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两袖清风</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492.80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筑廉篇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扬清风正气</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646.80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木作格栅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102*260cm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1298.15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2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历程</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发展历程</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546*260cm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5855.85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546*50cm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1351.35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2012-2021</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26cm+44cm+12cm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筑福篇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5636.40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筑福篇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员工风采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团队风采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团队协作</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裱水晶膜</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木作格栅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108*260cm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1374.52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亚克力照片盒子</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四个自信</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横条</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540*118cm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2698.54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花纹框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1460.80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永远跟党走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24cm+15cm+7cm*3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捍卫两个确定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标语</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347*161cm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5.5867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2304.51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众垚+合人而众  积土为垚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60cm+80cm+76cm+76cm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1284.80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公告栏</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210*115cm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996.19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形象墙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42+20cm*4+5cm*10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1248.72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5227.20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形象墙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44+25cm*4+7cm*10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1553.64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4704.48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水晶字+钛金拉丝面板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23+13cm*4+4cm*10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834.90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公司</w:t>
            </w:r>
            <w:r>
              <w:rPr>
                <w:rFonts w:hint="eastAsia" w:ascii="宋体" w:hAnsi="宋体" w:cs="宋体"/>
                <w:i w:val="0"/>
                <w:iCs w:val="0"/>
                <w:color w:val="000000"/>
                <w:kern w:val="0"/>
                <w:sz w:val="24"/>
                <w:szCs w:val="24"/>
                <w:u w:val="none"/>
                <w:lang w:val="en-US" w:eastAsia="zh-CN" w:bidi="ar"/>
              </w:rPr>
              <w:t>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水晶字+钛金拉丝面板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1038.18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工程部</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水晶字+钛金拉丝面板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走廊廉政文化墙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廉政文化</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664*156cm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4273.50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从严治党+不忘初心</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廉政文化</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在其位</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社会主义核心价值观文化墙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社会主义核心价值观</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532*135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2962.58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社会主义核心价值观</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21cm*7+66cm+48m+32cm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1289.20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富强</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2085.60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385*137cm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2173.88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44+24+35+34+40+26+40+38cm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1049.40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亚克力贴墙面风孔</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6mm亚克力四周磨斜边+安装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190*255cm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4636.67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科室牌/人员去向牌</w:t>
            </w: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亚克力定制</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亚克力定制+安装</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10560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背景墙</w:t>
            </w: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标志</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钛金精工字</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53cm</w:t>
            </w: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大字</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钛金精工字</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30cm*13个</w:t>
            </w: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2831.40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小字</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钛金精工字</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15cm*9个</w:t>
            </w: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980.10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1624" w:type="dxa"/>
            <w:gridSpan w:val="8"/>
            <w:tcBorders>
              <w:top w:val="nil"/>
              <w:left w:val="nil"/>
              <w:bottom w:val="nil"/>
              <w:right w:val="nil"/>
            </w:tcBorders>
            <w:shd w:val="clear" w:color="auto" w:fill="auto"/>
            <w:noWrap/>
            <w:vAlign w:val="center"/>
          </w:tcPr>
          <w:p>
            <w:pPr>
              <w:jc w:val="left"/>
              <w:rPr>
                <w:rFonts w:hint="eastAsia" w:ascii="宋体" w:hAnsi="宋体" w:eastAsia="宋体" w:cs="宋体"/>
                <w:b/>
                <w:bCs/>
                <w:i w:val="0"/>
                <w:iCs w:val="0"/>
                <w:color w:val="000000"/>
                <w:sz w:val="32"/>
                <w:szCs w:val="32"/>
                <w:u w:val="none"/>
              </w:rPr>
            </w:pPr>
          </w:p>
        </w:tc>
        <w:tc>
          <w:tcPr>
            <w:tcW w:w="111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合计</w:t>
            </w:r>
          </w:p>
        </w:tc>
        <w:tc>
          <w:tcPr>
            <w:tcW w:w="13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500000 </w:t>
            </w:r>
          </w:p>
        </w:tc>
      </w:tr>
    </w:tbl>
    <w:p>
      <w:pPr>
        <w:pStyle w:val="2"/>
        <w:rPr>
          <w:rFonts w:hint="eastAsia"/>
        </w:rPr>
      </w:pPr>
    </w:p>
    <w:p>
      <w:pPr>
        <w:pStyle w:val="90"/>
        <w:wordWrap w:val="0"/>
        <w:ind w:firstLine="0" w:firstLineChars="0"/>
        <w:rPr>
          <w:rFonts w:ascii="宋体"/>
        </w:rPr>
      </w:pPr>
      <w:r>
        <w:rPr>
          <w:rFonts w:hint="eastAsia" w:ascii="宋体" w:hAnsi="宋体"/>
        </w:rPr>
        <w:t>注：</w:t>
      </w:r>
    </w:p>
    <w:p>
      <w:pPr>
        <w:pStyle w:val="90"/>
        <w:wordWrap w:val="0"/>
        <w:ind w:firstLine="0" w:firstLineChars="0"/>
        <w:rPr>
          <w:rFonts w:ascii="宋体" w:hAnsi="宋体"/>
        </w:rPr>
      </w:pPr>
      <w:r>
        <w:rPr>
          <w:rFonts w:hint="eastAsia" w:ascii="宋体" w:hAnsi="宋体"/>
        </w:rPr>
        <w:t>1、本次采购为</w:t>
      </w:r>
      <w:r>
        <w:rPr>
          <w:rFonts w:hint="eastAsia" w:ascii="宋体" w:hAnsi="宋体"/>
          <w:lang w:val="en-US" w:eastAsia="zh-CN"/>
        </w:rPr>
        <w:t>一</w:t>
      </w:r>
      <w:r>
        <w:rPr>
          <w:rFonts w:hint="eastAsia" w:ascii="宋体" w:hAnsi="宋体"/>
        </w:rPr>
        <w:t>个合同包，具体以采购人要求的为准；若合同包</w:t>
      </w:r>
      <w:r>
        <w:rPr>
          <w:rFonts w:hint="eastAsia" w:ascii="宋体" w:hAnsi="宋体"/>
          <w:lang w:eastAsia="zh-CN"/>
        </w:rPr>
        <w:t>成交供应商</w:t>
      </w:r>
      <w:r>
        <w:rPr>
          <w:rFonts w:hint="eastAsia" w:ascii="宋体" w:hAnsi="宋体"/>
        </w:rPr>
        <w:t>放弃成交、因不可抗力不能履行合同、不按照询价文件要求提交履约担保金，或者被查实存在影响成交结果的违法行为等情形，不符合成交条件的，采购人对该合同包重新询价采购。</w:t>
      </w:r>
    </w:p>
    <w:p>
      <w:pPr>
        <w:spacing w:line="360" w:lineRule="auto"/>
        <w:rPr>
          <w:rFonts w:ascii="宋体" w:hAnsi="宋体"/>
        </w:rPr>
      </w:pPr>
      <w:r>
        <w:rPr>
          <w:rFonts w:hint="eastAsia" w:ascii="宋体" w:hAnsi="宋体"/>
          <w:sz w:val="24"/>
          <w:lang w:val="en-US" w:eastAsia="zh-CN"/>
        </w:rPr>
        <w:t>2</w:t>
      </w:r>
      <w:r>
        <w:rPr>
          <w:rFonts w:hint="eastAsia" w:ascii="宋体" w:hAnsi="宋体"/>
          <w:sz w:val="24"/>
        </w:rPr>
        <w:t>、采购范围：</w:t>
      </w:r>
      <w:r>
        <w:rPr>
          <w:rFonts w:hint="eastAsia" w:ascii="宋体" w:hAnsi="宋体" w:cs="Times New Roman"/>
          <w:bCs w:val="0"/>
          <w:sz w:val="24"/>
          <w:lang w:eastAsia="zh-CN"/>
        </w:rPr>
        <w:t>龙岩智发科技智能化设备采购（二）</w:t>
      </w:r>
      <w:r>
        <w:rPr>
          <w:rFonts w:hint="eastAsia" w:ascii="宋体" w:hAnsi="宋体"/>
          <w:sz w:val="24"/>
        </w:rPr>
        <w:t>相关内容</w:t>
      </w:r>
      <w:r>
        <w:rPr>
          <w:rFonts w:hint="eastAsia" w:ascii="宋体" w:hAnsi="宋体"/>
        </w:rPr>
        <w:t>。</w:t>
      </w:r>
    </w:p>
    <w:p>
      <w:pPr>
        <w:pStyle w:val="90"/>
        <w:wordWrap w:val="0"/>
        <w:ind w:firstLine="0" w:firstLineChars="0"/>
        <w:rPr>
          <w:rFonts w:ascii="宋体" w:hAnsi="宋体"/>
          <w:highlight w:val="none"/>
        </w:rPr>
      </w:pPr>
      <w:r>
        <w:rPr>
          <w:rFonts w:hint="eastAsia" w:ascii="宋体" w:hAnsi="宋体"/>
          <w:highlight w:val="none"/>
          <w:lang w:val="en-US" w:eastAsia="zh-CN"/>
        </w:rPr>
        <w:t>3</w:t>
      </w:r>
      <w:r>
        <w:rPr>
          <w:rFonts w:hint="eastAsia" w:ascii="宋体" w:hAnsi="宋体"/>
          <w:highlight w:val="none"/>
        </w:rPr>
        <w:t>、供应商报价不得超过</w:t>
      </w:r>
      <w:r>
        <w:rPr>
          <w:rFonts w:hint="eastAsia" w:ascii="宋体" w:hAnsi="宋体"/>
          <w:highlight w:val="none"/>
          <w:lang w:eastAsia="zh-CN"/>
        </w:rPr>
        <w:t>采购总价和采购单价</w:t>
      </w:r>
      <w:r>
        <w:rPr>
          <w:rFonts w:hint="eastAsia" w:ascii="宋体" w:hAnsi="宋体"/>
          <w:highlight w:val="none"/>
        </w:rPr>
        <w:t>，否则报价无效。</w:t>
      </w:r>
    </w:p>
    <w:p>
      <w:pPr>
        <w:pStyle w:val="90"/>
        <w:wordWrap w:val="0"/>
        <w:ind w:firstLine="0" w:firstLineChars="0"/>
        <w:rPr>
          <w:rFonts w:hint="eastAsia"/>
          <w:color w:val="auto"/>
        </w:rPr>
      </w:pPr>
      <w:r>
        <w:rPr>
          <w:rFonts w:hint="eastAsia" w:ascii="宋体" w:hAnsi="宋体"/>
          <w:color w:val="auto"/>
          <w:highlight w:val="none"/>
          <w:lang w:val="en-US" w:eastAsia="zh-CN"/>
        </w:rPr>
        <w:t>4</w:t>
      </w:r>
      <w:r>
        <w:rPr>
          <w:rFonts w:hint="eastAsia" w:ascii="宋体" w:hAnsi="宋体"/>
          <w:color w:val="auto"/>
          <w:highlight w:val="none"/>
        </w:rPr>
        <w:t>、项目报价含相关</w:t>
      </w:r>
      <w:r>
        <w:rPr>
          <w:rFonts w:hint="eastAsia" w:ascii="宋体" w:hAnsi="宋体"/>
          <w:color w:val="auto"/>
          <w:highlight w:val="none"/>
          <w:lang w:eastAsia="zh-CN"/>
        </w:rPr>
        <w:t>施工、安装、调试及所有设备配套辅材费、施工材料</w:t>
      </w:r>
      <w:r>
        <w:rPr>
          <w:rFonts w:hint="eastAsia" w:ascii="宋体" w:hAnsi="宋体"/>
          <w:color w:val="auto"/>
          <w:highlight w:val="none"/>
        </w:rPr>
        <w:t>费用，不再另外支付项目金额外的其他费。</w:t>
      </w:r>
    </w:p>
    <w:p>
      <w:pPr>
        <w:pStyle w:val="90"/>
        <w:wordWrap w:val="0"/>
        <w:ind w:firstLine="0" w:firstLineChars="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eastAsia="宋体" w:cs="Times New Roman"/>
          <w:i w:val="0"/>
          <w:iCs w:val="0"/>
          <w:caps w:val="0"/>
          <w:color w:val="auto"/>
          <w:spacing w:val="0"/>
          <w:sz w:val="24"/>
          <w:szCs w:val="24"/>
          <w:highlight w:val="none"/>
          <w:shd w:val="clear"/>
        </w:rPr>
        <w:t>采购方式根据需求分批次采购，按批次分期付款。</w:t>
      </w:r>
    </w:p>
    <w:p>
      <w:pPr>
        <w:pStyle w:val="90"/>
        <w:wordWrap w:val="0"/>
        <w:ind w:firstLine="0" w:firstLineChars="0"/>
        <w:rPr>
          <w:rFonts w:hint="eastAsia" w:ascii="宋体" w:hAnsi="宋体"/>
          <w:color w:val="auto"/>
          <w:highlight w:val="none"/>
          <w:lang w:val="en-US" w:eastAsia="zh-CN"/>
        </w:rPr>
      </w:pPr>
      <w:r>
        <w:rPr>
          <w:rFonts w:hint="eastAsia" w:ascii="宋体" w:hAnsi="宋体"/>
          <w:color w:val="auto"/>
          <w:highlight w:val="none"/>
          <w:lang w:val="en-US" w:eastAsia="zh-CN"/>
        </w:rPr>
        <w:t>6、清单调整</w:t>
      </w:r>
    </w:p>
    <w:p>
      <w:pPr>
        <w:pStyle w:val="90"/>
        <w:wordWrap w:val="0"/>
        <w:ind w:firstLine="240" w:firstLineChars="100"/>
        <w:rPr>
          <w:rFonts w:hint="eastAsia" w:ascii="宋体" w:hAnsi="宋体"/>
          <w:color w:val="auto"/>
          <w:highlight w:val="none"/>
          <w:lang w:val="en-US" w:eastAsia="zh-CN"/>
        </w:rPr>
      </w:pPr>
      <w:r>
        <w:rPr>
          <w:rFonts w:hint="eastAsia" w:ascii="宋体" w:hAnsi="宋体"/>
          <w:color w:val="auto"/>
          <w:highlight w:val="none"/>
          <w:lang w:val="en-US" w:eastAsia="zh-CN"/>
        </w:rPr>
        <w:t>随本询价文件发布的清单为暂列清单，询价单位如因活动需要对清单作出调整，成交单位应无条件配合执行，调价原则如下：</w:t>
      </w:r>
    </w:p>
    <w:p>
      <w:pPr>
        <w:pStyle w:val="90"/>
        <w:wordWrap w:val="0"/>
        <w:ind w:firstLine="0" w:firstLineChars="0"/>
        <w:rPr>
          <w:rFonts w:hint="eastAsia" w:ascii="宋体" w:hAnsi="宋体"/>
          <w:color w:val="auto"/>
          <w:highlight w:val="none"/>
          <w:lang w:val="en-US" w:eastAsia="zh-CN"/>
        </w:rPr>
      </w:pPr>
      <w:r>
        <w:rPr>
          <w:rFonts w:hint="eastAsia" w:ascii="宋体" w:hAnsi="宋体"/>
          <w:color w:val="auto"/>
          <w:highlight w:val="none"/>
          <w:lang w:val="en-US" w:eastAsia="zh-CN"/>
        </w:rPr>
        <w:t>（1）清单数量增减，结算单价按成交单位的报价，数量按实计算；</w:t>
      </w:r>
    </w:p>
    <w:p>
      <w:pPr>
        <w:pStyle w:val="90"/>
        <w:wordWrap w:val="0"/>
        <w:ind w:firstLine="0" w:firstLineChars="0"/>
        <w:rPr>
          <w:rFonts w:hint="eastAsia" w:ascii="宋体" w:hAnsi="宋体" w:eastAsia="宋体"/>
          <w:color w:val="auto"/>
          <w:highlight w:val="none"/>
          <w:lang w:val="en-US" w:eastAsia="zh-CN"/>
        </w:rPr>
        <w:sectPr>
          <w:pgSz w:w="16838" w:h="11906" w:orient="landscape"/>
          <w:pgMar w:top="1293" w:right="1440" w:bottom="1349" w:left="1440" w:header="851" w:footer="992" w:gutter="0"/>
          <w:pgNumType w:fmt="decimal"/>
          <w:cols w:space="425" w:num="1"/>
          <w:docGrid w:type="lines" w:linePitch="312" w:charSpace="0"/>
        </w:sectPr>
      </w:pPr>
      <w:r>
        <w:rPr>
          <w:rFonts w:hint="eastAsia" w:ascii="宋体" w:hAnsi="宋体"/>
          <w:color w:val="auto"/>
          <w:highlight w:val="none"/>
          <w:lang w:val="en-US" w:eastAsia="zh-CN"/>
        </w:rPr>
        <w:t>（2）清单中缺项的，成交单位市场询价后将价格报询价单位同意后方能进行采购或实施，成交单位应及时做好签证手续。</w:t>
      </w:r>
    </w:p>
    <w:p>
      <w:pPr>
        <w:pStyle w:val="90"/>
        <w:wordWrap w:val="0"/>
        <w:ind w:firstLine="0" w:firstLineChars="0"/>
        <w:rPr>
          <w:rFonts w:hint="default" w:ascii="宋体" w:eastAsia="宋体"/>
          <w:lang w:val="en-US" w:eastAsia="zh-CN"/>
        </w:rPr>
      </w:pPr>
    </w:p>
    <w:p>
      <w:pPr>
        <w:pStyle w:val="90"/>
        <w:wordWrap w:val="0"/>
        <w:ind w:firstLine="0" w:firstLineChars="0"/>
        <w:rPr>
          <w:rFonts w:hint="eastAsia" w:ascii="宋体" w:hAnsi="宋体"/>
          <w:highlight w:val="none"/>
        </w:rPr>
      </w:pPr>
      <w:bookmarkStart w:id="9" w:name="_Toc26516"/>
      <w:bookmarkStart w:id="10" w:name="_Toc22165"/>
    </w:p>
    <w:p>
      <w:pPr>
        <w:jc w:val="left"/>
        <w:rPr>
          <w:b/>
          <w:bCs/>
          <w:color w:val="auto"/>
          <w:sz w:val="24"/>
          <w:highlight w:val="none"/>
        </w:rPr>
      </w:pPr>
      <w:r>
        <w:rPr>
          <w:rFonts w:hint="eastAsia"/>
          <w:b/>
          <w:bCs/>
          <w:color w:val="auto"/>
          <w:sz w:val="24"/>
          <w:highlight w:val="none"/>
        </w:rPr>
        <w:t>附</w:t>
      </w:r>
      <w:r>
        <w:rPr>
          <w:rFonts w:hint="eastAsia"/>
          <w:b/>
          <w:bCs/>
          <w:color w:val="auto"/>
          <w:sz w:val="24"/>
          <w:highlight w:val="none"/>
          <w:lang w:val="en-US" w:eastAsia="zh-CN"/>
        </w:rPr>
        <w:t>件2</w:t>
      </w:r>
      <w:r>
        <w:rPr>
          <w:rFonts w:hint="eastAsia"/>
          <w:b/>
          <w:bCs/>
          <w:color w:val="auto"/>
          <w:sz w:val="24"/>
          <w:highlight w:val="none"/>
        </w:rPr>
        <w:t>：询价通知书</w:t>
      </w:r>
      <w:r>
        <w:rPr>
          <w:rFonts w:hint="eastAsia"/>
          <w:b/>
          <w:bCs/>
          <w:color w:val="auto"/>
          <w:sz w:val="24"/>
          <w:highlight w:val="none"/>
          <w:lang w:val="en-US" w:eastAsia="zh-CN"/>
        </w:rPr>
        <w:t>报名</w:t>
      </w:r>
      <w:r>
        <w:rPr>
          <w:rFonts w:hint="eastAsia"/>
          <w:b/>
          <w:bCs/>
          <w:color w:val="auto"/>
          <w:sz w:val="24"/>
          <w:highlight w:val="none"/>
        </w:rPr>
        <w:t>情况表</w:t>
      </w:r>
    </w:p>
    <w:p>
      <w:pPr>
        <w:jc w:val="center"/>
        <w:rPr>
          <w:b/>
          <w:bCs/>
          <w:color w:val="auto"/>
          <w:sz w:val="24"/>
          <w:highlight w:val="none"/>
        </w:rPr>
      </w:pPr>
    </w:p>
    <w:tbl>
      <w:tblPr>
        <w:tblStyle w:val="30"/>
        <w:tblW w:w="9000" w:type="dxa"/>
        <w:jc w:val="center"/>
        <w:tblLayout w:type="fixed"/>
        <w:tblCellMar>
          <w:top w:w="0" w:type="dxa"/>
          <w:left w:w="108" w:type="dxa"/>
          <w:bottom w:w="0" w:type="dxa"/>
          <w:right w:w="108" w:type="dxa"/>
        </w:tblCellMar>
      </w:tblPr>
      <w:tblGrid>
        <w:gridCol w:w="3060"/>
        <w:gridCol w:w="5940"/>
      </w:tblGrid>
      <w:tr>
        <w:tblPrEx>
          <w:tblCellMar>
            <w:top w:w="0" w:type="dxa"/>
            <w:left w:w="108" w:type="dxa"/>
            <w:bottom w:w="0" w:type="dxa"/>
            <w:right w:w="108" w:type="dxa"/>
          </w:tblCellMar>
        </w:tblPrEx>
        <w:trPr>
          <w:trHeight w:val="510" w:hRule="atLeast"/>
          <w:jc w:val="center"/>
        </w:trPr>
        <w:tc>
          <w:tcPr>
            <w:tcW w:w="3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lang w:val="en-US" w:eastAsia="zh-CN"/>
              </w:rPr>
              <w:t>报名</w:t>
            </w:r>
            <w:r>
              <w:rPr>
                <w:rFonts w:hint="eastAsia" w:ascii="宋体" w:hAnsi="宋体" w:cs="宋体"/>
                <w:color w:val="auto"/>
                <w:kern w:val="0"/>
                <w:sz w:val="24"/>
                <w:highlight w:val="none"/>
              </w:rPr>
              <w:t>时间</w:t>
            </w:r>
            <w:r>
              <w:rPr>
                <w:rFonts w:ascii="宋体" w:hAnsi="宋体" w:cs="宋体"/>
                <w:color w:val="auto"/>
                <w:kern w:val="0"/>
                <w:sz w:val="24"/>
                <w:highlight w:val="none"/>
              </w:rPr>
              <w:t>*</w:t>
            </w:r>
          </w:p>
        </w:tc>
        <w:tc>
          <w:tcPr>
            <w:tcW w:w="5940" w:type="dxa"/>
            <w:tcBorders>
              <w:top w:val="single" w:color="auto" w:sz="4" w:space="0"/>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采购编码</w:t>
            </w:r>
            <w:r>
              <w:rPr>
                <w:rFonts w:ascii="宋体" w:hAnsi="宋体" w:cs="宋体"/>
                <w:color w:val="auto"/>
                <w:kern w:val="0"/>
                <w:sz w:val="24"/>
                <w:highlight w:val="none"/>
              </w:rPr>
              <w:t>*</w:t>
            </w:r>
          </w:p>
        </w:tc>
        <w:tc>
          <w:tcPr>
            <w:tcW w:w="5940"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lang w:val="en-US" w:eastAsia="zh-CN"/>
              </w:rPr>
              <w:t>报名</w:t>
            </w:r>
            <w:r>
              <w:rPr>
                <w:rFonts w:hint="eastAsia" w:ascii="宋体" w:hAnsi="宋体" w:cs="宋体"/>
                <w:color w:val="auto"/>
                <w:kern w:val="0"/>
                <w:sz w:val="24"/>
                <w:highlight w:val="none"/>
              </w:rPr>
              <w:t>单位全称</w:t>
            </w:r>
            <w:r>
              <w:rPr>
                <w:rFonts w:ascii="宋体" w:hAnsi="宋体" w:cs="宋体"/>
                <w:color w:val="auto"/>
                <w:kern w:val="0"/>
                <w:sz w:val="24"/>
                <w:highlight w:val="none"/>
              </w:rPr>
              <w:t>*</w:t>
            </w:r>
          </w:p>
        </w:tc>
        <w:tc>
          <w:tcPr>
            <w:tcW w:w="5940"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lang w:val="en-US" w:eastAsia="zh-CN"/>
              </w:rPr>
              <w:t>报名</w:t>
            </w:r>
            <w:r>
              <w:rPr>
                <w:rFonts w:hint="eastAsia" w:ascii="宋体" w:hAnsi="宋体" w:cs="宋体"/>
                <w:color w:val="auto"/>
                <w:kern w:val="0"/>
                <w:sz w:val="24"/>
                <w:highlight w:val="none"/>
              </w:rPr>
              <w:t>单位地址</w:t>
            </w:r>
            <w:r>
              <w:rPr>
                <w:rFonts w:ascii="宋体" w:hAnsi="宋体" w:cs="宋体"/>
                <w:color w:val="auto"/>
                <w:kern w:val="0"/>
                <w:sz w:val="24"/>
                <w:highlight w:val="none"/>
              </w:rPr>
              <w:t>*</w:t>
            </w:r>
          </w:p>
        </w:tc>
        <w:tc>
          <w:tcPr>
            <w:tcW w:w="5940"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lang w:val="en-US" w:eastAsia="zh-CN"/>
              </w:rPr>
              <w:t>报名</w:t>
            </w:r>
            <w:r>
              <w:rPr>
                <w:rFonts w:hint="eastAsia" w:ascii="宋体" w:hAnsi="宋体" w:cs="宋体"/>
                <w:color w:val="auto"/>
                <w:kern w:val="0"/>
                <w:sz w:val="24"/>
                <w:highlight w:val="none"/>
              </w:rPr>
              <w:t>单位常用银行账号及开户行全称</w:t>
            </w:r>
            <w:r>
              <w:rPr>
                <w:rFonts w:ascii="宋体" w:hAnsi="宋体" w:cs="宋体"/>
                <w:color w:val="auto"/>
                <w:kern w:val="0"/>
                <w:sz w:val="24"/>
                <w:highlight w:val="none"/>
              </w:rPr>
              <w:t>*</w:t>
            </w:r>
          </w:p>
        </w:tc>
        <w:tc>
          <w:tcPr>
            <w:tcW w:w="5940"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纳税识别号</w:t>
            </w:r>
            <w:r>
              <w:rPr>
                <w:rFonts w:ascii="宋体" w:hAnsi="宋体" w:cs="宋体"/>
                <w:color w:val="auto"/>
                <w:kern w:val="0"/>
                <w:sz w:val="24"/>
                <w:highlight w:val="none"/>
              </w:rPr>
              <w:t>*</w:t>
            </w:r>
          </w:p>
        </w:tc>
        <w:tc>
          <w:tcPr>
            <w:tcW w:w="5940"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法定代表人</w:t>
            </w:r>
          </w:p>
        </w:tc>
        <w:tc>
          <w:tcPr>
            <w:tcW w:w="5940"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10" w:hRule="atLeast"/>
          <w:jc w:val="center"/>
        </w:trPr>
        <w:tc>
          <w:tcPr>
            <w:tcW w:w="3060"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auto"/>
                <w:kern w:val="0"/>
                <w:sz w:val="24"/>
                <w:highlight w:val="none"/>
              </w:rPr>
            </w:pPr>
            <w:r>
              <w:rPr>
                <w:rFonts w:hint="eastAsia" w:ascii="宋体" w:hAnsi="宋体" w:cs="宋体"/>
                <w:color w:val="auto"/>
                <w:kern w:val="0"/>
                <w:sz w:val="24"/>
                <w:highlight w:val="none"/>
              </w:rPr>
              <w:t>联系人及联系电话</w:t>
            </w:r>
            <w:r>
              <w:rPr>
                <w:rFonts w:ascii="宋体" w:hAnsi="宋体" w:cs="宋体"/>
                <w:color w:val="auto"/>
                <w:kern w:val="0"/>
                <w:sz w:val="24"/>
                <w:highlight w:val="none"/>
              </w:rPr>
              <w:t>*</w:t>
            </w:r>
          </w:p>
        </w:tc>
        <w:tc>
          <w:tcPr>
            <w:tcW w:w="5940" w:type="dxa"/>
            <w:tcBorders>
              <w:top w:val="nil"/>
              <w:left w:val="nil"/>
              <w:bottom w:val="single" w:color="auto" w:sz="4" w:space="0"/>
              <w:right w:val="single" w:color="auto" w:sz="4" w:space="0"/>
            </w:tcBorders>
            <w:noWrap/>
            <w:vAlign w:val="center"/>
          </w:tcPr>
          <w:p>
            <w:pPr>
              <w:widowControl/>
              <w:jc w:val="left"/>
              <w:rPr>
                <w:rFonts w:asci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10" w:hRule="atLeast"/>
          <w:jc w:val="center"/>
        </w:trPr>
        <w:tc>
          <w:tcPr>
            <w:tcW w:w="3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邮箱</w:t>
            </w:r>
          </w:p>
        </w:tc>
        <w:tc>
          <w:tcPr>
            <w:tcW w:w="5940"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color w:val="auto"/>
                <w:kern w:val="0"/>
                <w:sz w:val="24"/>
                <w:highlight w:val="none"/>
              </w:rPr>
            </w:pPr>
          </w:p>
        </w:tc>
      </w:tr>
    </w:tbl>
    <w:p>
      <w:pPr>
        <w:pStyle w:val="90"/>
        <w:wordWrap w:val="0"/>
        <w:ind w:firstLine="0" w:firstLineChars="0"/>
        <w:rPr>
          <w:rFonts w:hint="eastAsia" w:ascii="宋体" w:hAnsi="宋体"/>
          <w:highlight w:val="none"/>
        </w:rPr>
      </w:pPr>
    </w:p>
    <w:p>
      <w:pPr>
        <w:pStyle w:val="16"/>
        <w:rPr>
          <w:rFonts w:hint="eastAsia"/>
        </w:rPr>
      </w:pPr>
    </w:p>
    <w:p>
      <w:pPr>
        <w:pStyle w:val="4"/>
        <w:numPr>
          <w:ilvl w:val="0"/>
          <w:numId w:val="0"/>
        </w:numPr>
        <w:rPr>
          <w:rFonts w:hint="eastAsia"/>
        </w:rPr>
      </w:pPr>
      <w:bookmarkStart w:id="11" w:name="_Toc6650"/>
      <w:bookmarkStart w:id="12" w:name="_Toc7462"/>
    </w:p>
    <w:p>
      <w:pPr>
        <w:pStyle w:val="4"/>
        <w:numPr>
          <w:ilvl w:val="0"/>
          <w:numId w:val="0"/>
        </w:numPr>
        <w:rPr>
          <w:rFonts w:hint="eastAsia"/>
        </w:rPr>
      </w:pPr>
    </w:p>
    <w:p>
      <w:pPr>
        <w:rPr>
          <w:rFonts w:hint="eastAsia"/>
        </w:rPr>
      </w:pPr>
    </w:p>
    <w:p>
      <w:pPr>
        <w:pStyle w:val="2"/>
        <w:rPr>
          <w:rFonts w:hint="eastAsia"/>
        </w:rPr>
      </w:pPr>
    </w:p>
    <w:p>
      <w:pPr>
        <w:pStyle w:val="4"/>
        <w:numPr>
          <w:ilvl w:val="0"/>
          <w:numId w:val="0"/>
        </w:numPr>
        <w:rPr>
          <w:rFonts w:hint="eastAsia"/>
        </w:rPr>
      </w:pPr>
    </w:p>
    <w:p>
      <w:pPr>
        <w:pStyle w:val="4"/>
        <w:numPr>
          <w:ilvl w:val="0"/>
          <w:numId w:val="0"/>
        </w:numPr>
      </w:pPr>
      <w:r>
        <w:rPr>
          <w:rFonts w:hint="eastAsia"/>
        </w:rPr>
        <w:t>第二章</w:t>
      </w:r>
      <w:r>
        <w:t xml:space="preserve">  </w:t>
      </w:r>
      <w:r>
        <w:rPr>
          <w:rFonts w:hint="eastAsia"/>
        </w:rPr>
        <w:t>询价供应商须知</w:t>
      </w:r>
      <w:bookmarkEnd w:id="9"/>
      <w:bookmarkEnd w:id="10"/>
      <w:bookmarkEnd w:id="11"/>
      <w:bookmarkEnd w:id="12"/>
    </w:p>
    <w:p>
      <w:pPr>
        <w:pStyle w:val="5"/>
        <w:numPr>
          <w:ilvl w:val="0"/>
          <w:numId w:val="0"/>
        </w:numPr>
      </w:pPr>
      <w:bookmarkStart w:id="13" w:name="_Toc19623"/>
      <w:bookmarkStart w:id="14" w:name="_Toc24228"/>
      <w:bookmarkStart w:id="15" w:name="_Toc12892"/>
      <w:bookmarkStart w:id="16" w:name="_Toc27030"/>
      <w:r>
        <w:rPr>
          <w:rFonts w:hint="eastAsia"/>
        </w:rPr>
        <w:t>询价供应商须知前附表</w:t>
      </w:r>
      <w:bookmarkEnd w:id="13"/>
      <w:bookmarkEnd w:id="14"/>
      <w:bookmarkEnd w:id="15"/>
      <w:bookmarkEnd w:id="16"/>
    </w:p>
    <w:p>
      <w:pPr>
        <w:spacing w:line="360" w:lineRule="auto"/>
        <w:ind w:firstLine="480" w:firstLineChars="200"/>
        <w:jc w:val="center"/>
        <w:rPr>
          <w:rFonts w:ascii="宋体"/>
          <w:sz w:val="24"/>
        </w:rPr>
      </w:pPr>
    </w:p>
    <w:p>
      <w:pPr>
        <w:spacing w:line="360" w:lineRule="auto"/>
        <w:ind w:firstLine="480" w:firstLineChars="200"/>
        <w:rPr>
          <w:rFonts w:ascii="宋体"/>
          <w:sz w:val="24"/>
        </w:rPr>
      </w:pPr>
      <w:r>
        <w:rPr>
          <w:rFonts w:hint="eastAsia" w:ascii="宋体" w:hAnsi="宋体"/>
          <w:sz w:val="24"/>
        </w:rPr>
        <w:t>本须知前附表的条款号是与《询价供应商须知》中条款的项号相对应的，如果不一致的话，应以本须知前附表为准。</w:t>
      </w:r>
    </w:p>
    <w:tbl>
      <w:tblPr>
        <w:tblStyle w:val="30"/>
        <w:tblW w:w="880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45"/>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0" w:type="dxa"/>
            <w:noWrap/>
          </w:tcPr>
          <w:p>
            <w:pPr>
              <w:spacing w:line="360" w:lineRule="auto"/>
              <w:rPr>
                <w:rFonts w:ascii="宋体"/>
                <w:sz w:val="24"/>
              </w:rPr>
            </w:pPr>
            <w:r>
              <w:rPr>
                <w:rFonts w:hint="eastAsia" w:ascii="宋体" w:hAnsi="宋体"/>
                <w:sz w:val="24"/>
              </w:rPr>
              <w:t>项号</w:t>
            </w:r>
          </w:p>
        </w:tc>
        <w:tc>
          <w:tcPr>
            <w:tcW w:w="945" w:type="dxa"/>
            <w:noWrap/>
          </w:tcPr>
          <w:p>
            <w:pPr>
              <w:spacing w:line="360" w:lineRule="auto"/>
              <w:rPr>
                <w:rFonts w:ascii="宋体"/>
                <w:sz w:val="24"/>
              </w:rPr>
            </w:pPr>
            <w:r>
              <w:rPr>
                <w:rFonts w:hint="eastAsia" w:ascii="宋体" w:hAnsi="宋体"/>
                <w:sz w:val="24"/>
              </w:rPr>
              <w:t>条款号</w:t>
            </w:r>
          </w:p>
        </w:tc>
        <w:tc>
          <w:tcPr>
            <w:tcW w:w="7083" w:type="dxa"/>
            <w:noWrap/>
          </w:tcPr>
          <w:p>
            <w:pPr>
              <w:spacing w:line="360" w:lineRule="auto"/>
              <w:ind w:firstLine="480" w:firstLineChars="200"/>
              <w:rPr>
                <w:rFonts w:ascii="宋体"/>
                <w:sz w:val="24"/>
              </w:rPr>
            </w:pPr>
            <w:r>
              <w:rPr>
                <w:rFonts w:hint="eastAsia" w:ascii="宋体" w:hAnsi="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0" w:type="dxa"/>
            <w:noWrap/>
            <w:vAlign w:val="center"/>
          </w:tcPr>
          <w:p>
            <w:pPr>
              <w:spacing w:line="360" w:lineRule="auto"/>
              <w:rPr>
                <w:rFonts w:ascii="宋体"/>
                <w:sz w:val="24"/>
              </w:rPr>
            </w:pPr>
            <w:r>
              <w:rPr>
                <w:rFonts w:ascii="宋体" w:hAnsi="宋体"/>
                <w:sz w:val="24"/>
              </w:rPr>
              <w:t>1</w:t>
            </w:r>
          </w:p>
        </w:tc>
        <w:tc>
          <w:tcPr>
            <w:tcW w:w="945" w:type="dxa"/>
            <w:noWrap/>
            <w:vAlign w:val="center"/>
          </w:tcPr>
          <w:p>
            <w:pPr>
              <w:spacing w:line="360" w:lineRule="auto"/>
              <w:rPr>
                <w:rFonts w:ascii="宋体"/>
                <w:sz w:val="24"/>
              </w:rPr>
            </w:pPr>
            <w:r>
              <w:rPr>
                <w:rFonts w:ascii="宋体" w:hAnsi="宋体"/>
                <w:sz w:val="24"/>
              </w:rPr>
              <w:t>1.1</w:t>
            </w:r>
          </w:p>
        </w:tc>
        <w:tc>
          <w:tcPr>
            <w:tcW w:w="7083" w:type="dxa"/>
            <w:noWrap/>
            <w:vAlign w:val="center"/>
          </w:tcPr>
          <w:p>
            <w:pPr>
              <w:spacing w:line="360" w:lineRule="auto"/>
              <w:ind w:firstLine="480" w:firstLineChars="200"/>
              <w:rPr>
                <w:rFonts w:hint="eastAsia" w:ascii="宋体" w:eastAsia="宋体"/>
                <w:sz w:val="24"/>
                <w:lang w:eastAsia="zh-CN"/>
              </w:rPr>
            </w:pPr>
            <w:r>
              <w:rPr>
                <w:rFonts w:hint="eastAsia" w:ascii="宋体" w:hAnsi="宋体"/>
                <w:sz w:val="24"/>
              </w:rPr>
              <w:t>项目名称：</w:t>
            </w:r>
            <w:r>
              <w:rPr>
                <w:rFonts w:hint="eastAsia" w:ascii="宋体" w:hAnsi="宋体" w:cs="Times New Roman"/>
                <w:bCs w:val="0"/>
                <w:sz w:val="24"/>
                <w:lang w:eastAsia="zh-CN"/>
              </w:rPr>
              <w:t>龙岩智发科技智能化设备采购（二）</w:t>
            </w:r>
          </w:p>
          <w:p>
            <w:pPr>
              <w:spacing w:line="360" w:lineRule="auto"/>
              <w:ind w:firstLine="480" w:firstLineChars="200"/>
              <w:rPr>
                <w:rFonts w:hint="eastAsia" w:ascii="宋体" w:eastAsia="宋体"/>
                <w:sz w:val="24"/>
                <w:lang w:eastAsia="zh-CN"/>
              </w:rPr>
            </w:pPr>
            <w:r>
              <w:rPr>
                <w:rFonts w:hint="eastAsia" w:ascii="宋体" w:hAnsi="宋体"/>
                <w:sz w:val="24"/>
              </w:rPr>
              <w:t>采购人：</w:t>
            </w:r>
            <w:r>
              <w:rPr>
                <w:rFonts w:hint="eastAsia" w:ascii="宋体" w:hAnsi="宋体"/>
                <w:sz w:val="24"/>
                <w:lang w:eastAsia="zh-CN"/>
              </w:rPr>
              <w:t xml:space="preserve">龙岩智发科技有限责任公司 </w:t>
            </w:r>
          </w:p>
          <w:p>
            <w:pPr>
              <w:spacing w:line="360" w:lineRule="auto"/>
              <w:ind w:firstLine="480" w:firstLineChars="200"/>
              <w:rPr>
                <w:rFonts w:hint="eastAsia" w:ascii="Arial" w:hAnsi="Arial" w:eastAsia="宋体" w:cs="Arial"/>
                <w:sz w:val="24"/>
                <w:u w:val="single"/>
                <w:lang w:eastAsia="zh-CN"/>
              </w:rPr>
            </w:pPr>
            <w:r>
              <w:rPr>
                <w:rFonts w:hint="eastAsia" w:ascii="宋体" w:hAnsi="宋体"/>
                <w:sz w:val="24"/>
              </w:rPr>
              <w:t>项目编号：</w:t>
            </w:r>
            <w:r>
              <w:rPr>
                <w:rFonts w:hint="eastAsia" w:ascii="宋体" w:hAnsi="宋体"/>
                <w:sz w:val="24"/>
                <w:lang w:eastAsia="zh-CN"/>
              </w:rPr>
              <w:t>CFZJZX招〔2022）-244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780" w:type="dxa"/>
            <w:noWrap/>
            <w:vAlign w:val="center"/>
          </w:tcPr>
          <w:p>
            <w:pPr>
              <w:spacing w:line="360" w:lineRule="auto"/>
              <w:rPr>
                <w:rFonts w:ascii="宋体"/>
                <w:sz w:val="24"/>
              </w:rPr>
            </w:pPr>
            <w:r>
              <w:rPr>
                <w:rFonts w:ascii="宋体" w:hAnsi="宋体"/>
                <w:sz w:val="24"/>
              </w:rPr>
              <w:t>2</w:t>
            </w:r>
          </w:p>
        </w:tc>
        <w:tc>
          <w:tcPr>
            <w:tcW w:w="945" w:type="dxa"/>
            <w:noWrap/>
            <w:vAlign w:val="center"/>
          </w:tcPr>
          <w:p>
            <w:pPr>
              <w:spacing w:line="360" w:lineRule="auto"/>
              <w:rPr>
                <w:rFonts w:ascii="宋体"/>
                <w:sz w:val="24"/>
              </w:rPr>
            </w:pPr>
            <w:r>
              <w:rPr>
                <w:rFonts w:ascii="宋体" w:hAnsi="宋体"/>
                <w:sz w:val="24"/>
              </w:rPr>
              <w:t>3</w:t>
            </w:r>
          </w:p>
        </w:tc>
        <w:tc>
          <w:tcPr>
            <w:tcW w:w="7083" w:type="dxa"/>
            <w:noWrap/>
            <w:vAlign w:val="center"/>
          </w:tcPr>
          <w:p>
            <w:pPr>
              <w:spacing w:line="360" w:lineRule="auto"/>
              <w:ind w:firstLine="480" w:firstLineChars="200"/>
              <w:rPr>
                <w:rFonts w:ascii="宋体"/>
                <w:sz w:val="24"/>
              </w:rPr>
            </w:pPr>
            <w:r>
              <w:rPr>
                <w:rFonts w:hint="eastAsia" w:ascii="宋体" w:hAnsi="宋体"/>
                <w:sz w:val="24"/>
              </w:rPr>
              <w:t>资格标准：</w:t>
            </w:r>
          </w:p>
          <w:p>
            <w:pPr>
              <w:spacing w:line="360" w:lineRule="auto"/>
              <w:ind w:firstLine="480" w:firstLineChars="200"/>
              <w:rPr>
                <w:rFonts w:ascii="宋体"/>
                <w:sz w:val="24"/>
              </w:rPr>
            </w:pPr>
            <w:r>
              <w:rPr>
                <w:rFonts w:ascii="宋体" w:hAnsi="宋体"/>
                <w:sz w:val="24"/>
              </w:rPr>
              <w:t xml:space="preserve"> </w:t>
            </w:r>
            <w:r>
              <w:rPr>
                <w:rFonts w:hint="eastAsia" w:ascii="宋体" w:hAnsi="宋体"/>
                <w:sz w:val="24"/>
              </w:rPr>
              <w:t>见《询价供应商须知》第</w:t>
            </w:r>
            <w:r>
              <w:rPr>
                <w:rFonts w:ascii="宋体" w:hAnsi="宋体"/>
                <w:sz w:val="24"/>
              </w:rPr>
              <w:t>3</w:t>
            </w:r>
            <w:r>
              <w:rPr>
                <w:rFonts w:hint="eastAsia" w:ascii="宋体" w:hAnsi="宋体"/>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0" w:type="dxa"/>
            <w:noWrap/>
            <w:vAlign w:val="center"/>
          </w:tcPr>
          <w:p>
            <w:pPr>
              <w:spacing w:line="360" w:lineRule="auto"/>
              <w:rPr>
                <w:rFonts w:ascii="宋体"/>
                <w:sz w:val="24"/>
              </w:rPr>
            </w:pPr>
            <w:r>
              <w:rPr>
                <w:rFonts w:ascii="宋体" w:hAnsi="宋体"/>
                <w:sz w:val="24"/>
              </w:rPr>
              <w:t>3</w:t>
            </w:r>
          </w:p>
        </w:tc>
        <w:tc>
          <w:tcPr>
            <w:tcW w:w="945" w:type="dxa"/>
            <w:noWrap/>
            <w:vAlign w:val="center"/>
          </w:tcPr>
          <w:p>
            <w:pPr>
              <w:spacing w:line="360" w:lineRule="auto"/>
              <w:rPr>
                <w:rFonts w:ascii="宋体"/>
                <w:sz w:val="24"/>
              </w:rPr>
            </w:pPr>
            <w:r>
              <w:rPr>
                <w:rFonts w:ascii="宋体" w:hAnsi="宋体"/>
                <w:sz w:val="24"/>
              </w:rPr>
              <w:t>11.1</w:t>
            </w:r>
          </w:p>
        </w:tc>
        <w:tc>
          <w:tcPr>
            <w:tcW w:w="7083" w:type="dxa"/>
            <w:noWrap/>
            <w:vAlign w:val="center"/>
          </w:tcPr>
          <w:p>
            <w:pPr>
              <w:spacing w:line="360" w:lineRule="auto"/>
              <w:ind w:firstLine="480" w:firstLineChars="200"/>
              <w:rPr>
                <w:rFonts w:ascii="宋体"/>
                <w:sz w:val="24"/>
              </w:rPr>
            </w:pPr>
            <w:r>
              <w:rPr>
                <w:rFonts w:hint="eastAsia" w:ascii="宋体" w:hAnsi="宋体"/>
                <w:sz w:val="24"/>
              </w:rPr>
              <w:t>询价响应有效期：递交询价响应文件截止期结束后</w:t>
            </w:r>
            <w:r>
              <w:rPr>
                <w:rFonts w:ascii="宋体" w:hAnsi="宋体"/>
                <w:sz w:val="24"/>
                <w:u w:val="single"/>
              </w:rPr>
              <w:t>90</w:t>
            </w:r>
            <w:r>
              <w:rPr>
                <w:rFonts w:hint="eastAsia" w:ascii="宋体" w:hAnsi="宋体"/>
                <w:sz w:val="24"/>
                <w:u w:val="single"/>
              </w:rPr>
              <w:t>个</w:t>
            </w:r>
            <w:r>
              <w:rPr>
                <w:rFonts w:hint="eastAsia" w:ascii="宋体" w:hAnsi="宋体"/>
                <w:sz w:val="24"/>
              </w:rPr>
              <w:t>日历日。</w:t>
            </w:r>
          </w:p>
          <w:p>
            <w:pPr>
              <w:spacing w:line="360" w:lineRule="auto"/>
              <w:ind w:firstLine="480" w:firstLineChars="200"/>
              <w:rPr>
                <w:rFonts w:ascii="宋体"/>
                <w:sz w:val="24"/>
              </w:rPr>
            </w:pPr>
            <w:r>
              <w:rPr>
                <w:rFonts w:hint="eastAsia" w:ascii="宋体" w:hAnsi="宋体"/>
                <w:sz w:val="24"/>
              </w:rPr>
              <w:t>有效期不足将导致其询价响应文件被拒绝。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0" w:type="dxa"/>
            <w:noWrap/>
            <w:vAlign w:val="center"/>
          </w:tcPr>
          <w:p>
            <w:pPr>
              <w:spacing w:line="360" w:lineRule="auto"/>
              <w:rPr>
                <w:rFonts w:ascii="宋体"/>
                <w:sz w:val="24"/>
              </w:rPr>
            </w:pPr>
            <w:r>
              <w:rPr>
                <w:rFonts w:ascii="宋体" w:hAnsi="宋体"/>
                <w:sz w:val="24"/>
              </w:rPr>
              <w:t>4</w:t>
            </w:r>
          </w:p>
        </w:tc>
        <w:tc>
          <w:tcPr>
            <w:tcW w:w="945" w:type="dxa"/>
            <w:noWrap/>
            <w:vAlign w:val="center"/>
          </w:tcPr>
          <w:p>
            <w:pPr>
              <w:spacing w:line="360" w:lineRule="auto"/>
              <w:ind w:firstLine="480" w:firstLineChars="200"/>
              <w:rPr>
                <w:rFonts w:ascii="宋体"/>
                <w:sz w:val="24"/>
              </w:rPr>
            </w:pPr>
          </w:p>
        </w:tc>
        <w:tc>
          <w:tcPr>
            <w:tcW w:w="7083" w:type="dxa"/>
            <w:noWrap/>
            <w:vAlign w:val="center"/>
          </w:tcPr>
          <w:p>
            <w:pPr>
              <w:spacing w:line="360" w:lineRule="auto"/>
              <w:ind w:firstLine="480" w:firstLineChars="200"/>
              <w:rPr>
                <w:rFonts w:ascii="宋体"/>
                <w:sz w:val="24"/>
              </w:rPr>
            </w:pPr>
            <w:r>
              <w:rPr>
                <w:rFonts w:hint="eastAsia" w:ascii="宋体" w:hAnsi="宋体"/>
                <w:sz w:val="24"/>
              </w:rPr>
              <w:t>询价响应文件递交地址：</w:t>
            </w:r>
            <w:r>
              <w:rPr>
                <w:rFonts w:hint="eastAsia" w:ascii="宋体" w:hAnsi="宋体"/>
                <w:sz w:val="24"/>
                <w:lang w:eastAsia="zh-CN"/>
              </w:rPr>
              <w:t>随行易交易（龙岩）公共资源交易平台（龙岩市新罗区龙岩大道商务板块龙工大厦3楼）</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接收人：</w:t>
            </w:r>
            <w:r>
              <w:rPr>
                <w:rFonts w:hint="eastAsia" w:ascii="宋体" w:hAnsi="宋体"/>
                <w:sz w:val="24"/>
                <w:lang w:eastAsia="zh-CN"/>
              </w:rPr>
              <w:t>龙岩城发工程造价咨询服务有限公司</w:t>
            </w:r>
            <w:r>
              <w:rPr>
                <w:rFonts w:hint="eastAsia" w:ascii="宋体" w:hAnsi="宋体"/>
                <w:sz w:val="24"/>
              </w:rPr>
              <w:t>工作人员。</w:t>
            </w:r>
          </w:p>
          <w:p>
            <w:pPr>
              <w:spacing w:line="360" w:lineRule="auto"/>
              <w:ind w:firstLine="480" w:firstLineChars="200"/>
              <w:rPr>
                <w:rFonts w:ascii="宋体"/>
                <w:sz w:val="24"/>
              </w:rPr>
            </w:pPr>
            <w:r>
              <w:rPr>
                <w:rFonts w:hint="eastAsia" w:ascii="宋体" w:hAnsi="宋体"/>
                <w:sz w:val="24"/>
              </w:rPr>
              <w:t>接受询价响应文件开始时间：</w:t>
            </w:r>
            <w:r>
              <w:rPr>
                <w:rFonts w:hint="eastAsia" w:ascii="宋体" w:hAnsi="宋体"/>
                <w:sz w:val="24"/>
                <w:lang w:eastAsia="zh-CN"/>
              </w:rPr>
              <w:t>2022</w:t>
            </w:r>
            <w:r>
              <w:rPr>
                <w:rFonts w:hint="eastAsia" w:ascii="宋体" w:hAnsi="宋体"/>
                <w:sz w:val="24"/>
              </w:rPr>
              <w:t>年</w:t>
            </w:r>
            <w:r>
              <w:rPr>
                <w:rFonts w:hint="eastAsia" w:ascii="宋体" w:hAnsi="宋体"/>
                <w:color w:val="auto"/>
                <w:sz w:val="24"/>
                <w:lang w:val="en-US" w:eastAsia="zh-CN"/>
              </w:rPr>
              <w:t>11月25日</w:t>
            </w:r>
            <w:r>
              <w:rPr>
                <w:rFonts w:hint="eastAsia" w:ascii="宋体" w:hAnsi="宋体"/>
                <w:sz w:val="24"/>
                <w:lang w:val="en-US" w:eastAsia="zh-CN"/>
              </w:rPr>
              <w:t>08</w:t>
            </w:r>
            <w:r>
              <w:rPr>
                <w:rFonts w:ascii="宋体" w:hAnsi="宋体"/>
                <w:sz w:val="24"/>
              </w:rPr>
              <w:t>:30</w:t>
            </w:r>
          </w:p>
          <w:p>
            <w:pPr>
              <w:spacing w:line="360" w:lineRule="auto"/>
              <w:ind w:firstLine="480" w:firstLineChars="200"/>
              <w:rPr>
                <w:rFonts w:ascii="宋体"/>
                <w:sz w:val="24"/>
              </w:rPr>
            </w:pPr>
            <w:r>
              <w:rPr>
                <w:rFonts w:hint="eastAsia" w:ascii="宋体" w:hAnsi="宋体"/>
                <w:sz w:val="24"/>
              </w:rPr>
              <w:t>递交询价响应文件截止时间：</w:t>
            </w:r>
            <w:r>
              <w:rPr>
                <w:rFonts w:hint="eastAsia" w:ascii="宋体" w:hAnsi="宋体"/>
                <w:sz w:val="24"/>
                <w:lang w:eastAsia="zh-CN"/>
              </w:rPr>
              <w:t>2022</w:t>
            </w:r>
            <w:r>
              <w:rPr>
                <w:rFonts w:hint="eastAsia" w:ascii="宋体" w:hAnsi="宋体"/>
                <w:sz w:val="24"/>
              </w:rPr>
              <w:t>年</w:t>
            </w:r>
            <w:r>
              <w:rPr>
                <w:rFonts w:hint="eastAsia" w:ascii="宋体" w:hAnsi="宋体"/>
                <w:color w:val="auto"/>
                <w:sz w:val="24"/>
                <w:lang w:val="en-US" w:eastAsia="zh-CN"/>
              </w:rPr>
              <w:t>11月25日</w:t>
            </w:r>
            <w:r>
              <w:rPr>
                <w:rFonts w:hint="eastAsia" w:ascii="宋体" w:hAnsi="宋体"/>
                <w:sz w:val="24"/>
                <w:lang w:val="en-US" w:eastAsia="zh-CN"/>
              </w:rPr>
              <w:t>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0" w:type="dxa"/>
            <w:noWrap/>
            <w:vAlign w:val="center"/>
          </w:tcPr>
          <w:p>
            <w:pPr>
              <w:spacing w:line="360" w:lineRule="auto"/>
              <w:rPr>
                <w:rFonts w:ascii="宋体"/>
                <w:sz w:val="24"/>
              </w:rPr>
            </w:pPr>
            <w:r>
              <w:rPr>
                <w:rFonts w:ascii="宋体" w:hAnsi="宋体"/>
                <w:sz w:val="24"/>
              </w:rPr>
              <w:t>5</w:t>
            </w:r>
          </w:p>
        </w:tc>
        <w:tc>
          <w:tcPr>
            <w:tcW w:w="945" w:type="dxa"/>
            <w:noWrap/>
            <w:vAlign w:val="center"/>
          </w:tcPr>
          <w:p>
            <w:pPr>
              <w:spacing w:line="360" w:lineRule="auto"/>
              <w:rPr>
                <w:rFonts w:ascii="宋体"/>
                <w:sz w:val="24"/>
              </w:rPr>
            </w:pPr>
            <w:r>
              <w:rPr>
                <w:rFonts w:ascii="宋体" w:hAnsi="宋体"/>
                <w:sz w:val="24"/>
              </w:rPr>
              <w:t>12</w:t>
            </w:r>
          </w:p>
        </w:tc>
        <w:tc>
          <w:tcPr>
            <w:tcW w:w="7083" w:type="dxa"/>
            <w:noWrap/>
            <w:vAlign w:val="center"/>
          </w:tcPr>
          <w:p>
            <w:pPr>
              <w:spacing w:line="360" w:lineRule="auto"/>
              <w:ind w:firstLine="480" w:firstLineChars="200"/>
              <w:rPr>
                <w:rFonts w:ascii="宋体"/>
                <w:sz w:val="24"/>
              </w:rPr>
            </w:pPr>
            <w:r>
              <w:rPr>
                <w:rFonts w:hint="eastAsia" w:ascii="宋体" w:hAnsi="宋体"/>
                <w:sz w:val="24"/>
              </w:rPr>
              <w:t>询价保证金</w:t>
            </w:r>
            <w:r>
              <w:rPr>
                <w:rFonts w:ascii="宋体" w:hAnsi="宋体"/>
                <w:sz w:val="24"/>
              </w:rPr>
              <w:t xml:space="preserve">: </w:t>
            </w:r>
            <w:r>
              <w:rPr>
                <w:rFonts w:hint="eastAsia" w:ascii="宋体" w:hAnsi="宋体"/>
                <w:b/>
                <w:bCs/>
                <w:sz w:val="24"/>
                <w:u w:val="single"/>
                <w:lang w:val="en-US" w:eastAsia="zh-CN"/>
              </w:rPr>
              <w:t>10000</w:t>
            </w:r>
            <w:r>
              <w:rPr>
                <w:rFonts w:hint="eastAsia" w:ascii="宋体" w:hAnsi="宋体"/>
                <w:b/>
                <w:sz w:val="24"/>
                <w:u w:val="single"/>
                <w:lang w:eastAsia="zh-CN"/>
              </w:rPr>
              <w:t>元</w:t>
            </w:r>
            <w:r>
              <w:rPr>
                <w:rFonts w:hint="eastAsia" w:ascii="宋体" w:hAnsi="宋体"/>
                <w:b/>
                <w:sz w:val="24"/>
                <w:u w:val="single"/>
              </w:rPr>
              <w:t>。</w:t>
            </w:r>
            <w:r>
              <w:rPr>
                <w:rFonts w:hint="eastAsia" w:ascii="宋体" w:hAnsi="宋体"/>
                <w:sz w:val="24"/>
              </w:rPr>
              <w:t>从</w:t>
            </w:r>
            <w:r>
              <w:rPr>
                <w:rFonts w:hint="eastAsia" w:ascii="宋体" w:hAnsi="宋体"/>
                <w:sz w:val="24"/>
                <w:lang w:eastAsia="zh-CN"/>
              </w:rPr>
              <w:t>询价供应商</w:t>
            </w:r>
            <w:r>
              <w:rPr>
                <w:rFonts w:hint="eastAsia" w:ascii="宋体" w:hAnsi="宋体"/>
                <w:sz w:val="24"/>
              </w:rPr>
              <w:t>银行账户以电汇或转账方式，于</w:t>
            </w:r>
            <w:r>
              <w:rPr>
                <w:rFonts w:hint="eastAsia" w:ascii="宋体" w:hAnsi="宋体"/>
                <w:sz w:val="24"/>
                <w:u w:val="single"/>
              </w:rPr>
              <w:t>询价截止时间</w:t>
            </w:r>
            <w:r>
              <w:rPr>
                <w:rFonts w:hint="eastAsia" w:ascii="宋体" w:hAnsi="宋体"/>
                <w:sz w:val="24"/>
              </w:rPr>
              <w:t>前缴至</w:t>
            </w:r>
            <w:r>
              <w:rPr>
                <w:rFonts w:hint="eastAsia" w:ascii="宋体" w:hAnsi="宋体"/>
                <w:sz w:val="24"/>
                <w:lang w:val="en-US" w:eastAsia="zh-CN"/>
              </w:rPr>
              <w:t>龙岩智发科技有限责任公司</w:t>
            </w:r>
            <w:r>
              <w:rPr>
                <w:rFonts w:hint="eastAsia" w:ascii="宋体" w:hAnsi="宋体"/>
                <w:sz w:val="24"/>
              </w:rPr>
              <w:t>账户（以到账为准）。</w:t>
            </w:r>
            <w:r>
              <w:rPr>
                <w:rFonts w:hint="eastAsia" w:ascii="宋体" w:hAnsi="宋体" w:cs="Arial"/>
                <w:b/>
                <w:kern w:val="0"/>
                <w:sz w:val="24"/>
              </w:rPr>
              <w:t>询价保证金转账单或电汇单上必须注明本项目采购编号</w:t>
            </w:r>
            <w:r>
              <w:rPr>
                <w:rFonts w:hint="eastAsia" w:ascii="宋体" w:hAnsi="宋体"/>
                <w:sz w:val="24"/>
              </w:rPr>
              <w:t>。（详见第二章</w:t>
            </w:r>
            <w:r>
              <w:rPr>
                <w:rFonts w:ascii="宋体" w:hAnsi="宋体"/>
                <w:sz w:val="24"/>
              </w:rPr>
              <w:t>12.</w:t>
            </w:r>
            <w:r>
              <w:rPr>
                <w:rFonts w:hint="eastAsia" w:ascii="宋体" w:hAnsi="宋体"/>
                <w:sz w:val="24"/>
              </w:rPr>
              <w:t>询价保证金）</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开户银行：中信银行股份有限公司龙岩新罗支行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账户名称: 龙岩智发科技有限责任公司</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宋体"/>
                <w:sz w:val="24"/>
              </w:rPr>
            </w:pPr>
            <w:r>
              <w:rPr>
                <w:rFonts w:hint="eastAsia" w:ascii="宋体" w:hAnsi="宋体" w:cs="宋体"/>
                <w:color w:val="auto"/>
                <w:sz w:val="24"/>
                <w:szCs w:val="24"/>
                <w:highlight w:val="none"/>
                <w:lang w:val="en-US" w:eastAsia="zh-CN"/>
              </w:rPr>
              <w:t>账    号: 8111301012400572773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780" w:type="dxa"/>
            <w:noWrap/>
            <w:vAlign w:val="center"/>
          </w:tcPr>
          <w:p>
            <w:pPr>
              <w:spacing w:line="360" w:lineRule="auto"/>
              <w:rPr>
                <w:rFonts w:ascii="宋体"/>
                <w:sz w:val="24"/>
              </w:rPr>
            </w:pPr>
            <w:r>
              <w:rPr>
                <w:rFonts w:ascii="宋体" w:hAnsi="宋体"/>
                <w:sz w:val="24"/>
              </w:rPr>
              <w:t>6</w:t>
            </w:r>
          </w:p>
        </w:tc>
        <w:tc>
          <w:tcPr>
            <w:tcW w:w="945" w:type="dxa"/>
            <w:noWrap/>
            <w:vAlign w:val="center"/>
          </w:tcPr>
          <w:p>
            <w:pPr>
              <w:spacing w:line="360" w:lineRule="auto"/>
              <w:rPr>
                <w:rFonts w:ascii="宋体"/>
                <w:sz w:val="24"/>
              </w:rPr>
            </w:pPr>
            <w:r>
              <w:rPr>
                <w:rFonts w:ascii="宋体" w:hAnsi="宋体"/>
                <w:sz w:val="24"/>
              </w:rPr>
              <w:t>19.6</w:t>
            </w:r>
          </w:p>
        </w:tc>
        <w:tc>
          <w:tcPr>
            <w:tcW w:w="7083" w:type="dxa"/>
            <w:noWrap/>
            <w:vAlign w:val="center"/>
          </w:tcPr>
          <w:p>
            <w:pPr>
              <w:spacing w:line="360" w:lineRule="auto"/>
              <w:ind w:firstLine="480" w:firstLineChars="200"/>
              <w:rPr>
                <w:rFonts w:hint="eastAsia" w:ascii="宋体" w:hAnsi="宋体"/>
                <w:sz w:val="24"/>
              </w:rPr>
            </w:pPr>
            <w:r>
              <w:rPr>
                <w:rFonts w:hint="eastAsia" w:ascii="宋体" w:hAnsi="宋体"/>
                <w:sz w:val="24"/>
              </w:rPr>
              <w:t>评审标准和方法：</w:t>
            </w:r>
          </w:p>
          <w:p>
            <w:pPr>
              <w:pStyle w:val="90"/>
              <w:numPr>
                <w:ilvl w:val="0"/>
                <w:numId w:val="0"/>
              </w:numPr>
              <w:wordWrap w:val="0"/>
              <w:ind w:firstLine="480" w:firstLineChars="200"/>
              <w:rPr>
                <w:rFonts w:ascii="宋体"/>
                <w:color w:val="auto"/>
              </w:rPr>
            </w:pPr>
            <w:r>
              <w:rPr>
                <w:rFonts w:hint="eastAsia" w:ascii="宋体" w:hAnsi="宋体" w:cs="宋体"/>
                <w:color w:val="auto"/>
                <w:sz w:val="24"/>
                <w:lang w:val="en-US" w:eastAsia="zh-CN"/>
              </w:rPr>
              <w:t>1.合同包推荐一名成交供应商；</w:t>
            </w:r>
            <w:r>
              <w:rPr>
                <w:rFonts w:hint="eastAsia" w:ascii="宋体" w:hAnsi="宋体"/>
                <w:color w:val="auto"/>
                <w:lang w:eastAsia="zh-CN"/>
              </w:rPr>
              <w:t>若成交供应商放弃成交、因不可抗力不能履行合同、不按照询价文件要求提交履约担保金，或者被查实存在影响成交结果的违法行为等情形，不符合成交条件的，采购人</w:t>
            </w:r>
            <w:r>
              <w:rPr>
                <w:rFonts w:hint="eastAsia" w:ascii="宋体" w:hAnsi="宋体"/>
                <w:color w:val="000000" w:themeColor="text1"/>
                <w:lang w:val="en-US" w:eastAsia="zh-CN"/>
                <w14:textFill>
                  <w14:solidFill>
                    <w14:schemeClr w14:val="tx1"/>
                  </w14:solidFill>
                </w14:textFill>
              </w:rPr>
              <w:t>应</w:t>
            </w:r>
            <w:r>
              <w:rPr>
                <w:rFonts w:hint="eastAsia" w:ascii="宋体" w:hAnsi="宋体"/>
                <w:color w:val="auto"/>
                <w:lang w:eastAsia="zh-CN"/>
              </w:rPr>
              <w:t>该重新询价采购。</w:t>
            </w:r>
          </w:p>
          <w:p>
            <w:pPr>
              <w:spacing w:line="360" w:lineRule="auto"/>
              <w:ind w:firstLine="480" w:firstLineChars="200"/>
              <w:rPr>
                <w:rFonts w:ascii="宋体"/>
                <w:b/>
                <w:sz w:val="24"/>
              </w:rPr>
            </w:pPr>
            <w:r>
              <w:rPr>
                <w:rFonts w:hint="eastAsia" w:ascii="宋体" w:hAnsi="宋体" w:cs="宋体"/>
                <w:color w:val="auto"/>
                <w:sz w:val="24"/>
                <w:lang w:val="en-US" w:eastAsia="zh-CN"/>
              </w:rPr>
              <w:t>2.</w:t>
            </w:r>
            <w:r>
              <w:rPr>
                <w:rFonts w:hint="eastAsia" w:ascii="宋体" w:hAnsi="宋体"/>
                <w:sz w:val="24"/>
              </w:rPr>
              <w:t>最低评审价法，采用在实质性响应询价通知书的前提下，询价小组按</w:t>
            </w:r>
            <w:r>
              <w:rPr>
                <w:rFonts w:hint="eastAsia" w:ascii="宋体" w:hAnsi="宋体"/>
                <w:sz w:val="24"/>
                <w:lang w:val="en-US" w:eastAsia="zh-CN"/>
              </w:rPr>
              <w:t>合同包</w:t>
            </w:r>
            <w:r>
              <w:rPr>
                <w:rFonts w:hint="eastAsia" w:ascii="宋体" w:hAnsi="宋体" w:cs="宋体"/>
                <w:spacing w:val="-2"/>
                <w:kern w:val="0"/>
                <w:sz w:val="24"/>
                <w:lang w:eastAsia="zh-CN"/>
              </w:rPr>
              <w:t>供应商</w:t>
            </w:r>
            <w:r>
              <w:rPr>
                <w:rFonts w:hint="eastAsia" w:ascii="宋体" w:hAnsi="宋体"/>
                <w:sz w:val="24"/>
              </w:rPr>
              <w:t>有效</w:t>
            </w:r>
            <w:r>
              <w:rPr>
                <w:rFonts w:hint="eastAsia" w:ascii="宋体" w:hAnsi="宋体"/>
                <w:sz w:val="24"/>
                <w:lang w:val="en-US" w:eastAsia="zh-CN"/>
              </w:rPr>
              <w:t>投标总</w:t>
            </w:r>
            <w:r>
              <w:rPr>
                <w:rFonts w:hint="eastAsia" w:ascii="宋体" w:hAnsi="宋体"/>
                <w:sz w:val="24"/>
              </w:rPr>
              <w:t>价从低到高排列的顺序推荐</w:t>
            </w:r>
            <w:r>
              <w:rPr>
                <w:rFonts w:ascii="宋体" w:hAnsi="宋体"/>
                <w:sz w:val="24"/>
              </w:rPr>
              <w:t>1</w:t>
            </w:r>
            <w:r>
              <w:rPr>
                <w:rFonts w:hint="eastAsia" w:ascii="宋体" w:hAnsi="宋体"/>
                <w:sz w:val="24"/>
              </w:rPr>
              <w:t>名</w:t>
            </w:r>
            <w:r>
              <w:rPr>
                <w:rFonts w:hint="eastAsia" w:ascii="宋体" w:hAnsi="宋体"/>
                <w:sz w:val="24"/>
                <w:lang w:eastAsia="zh-CN"/>
              </w:rPr>
              <w:t>成交供应商</w:t>
            </w:r>
            <w:r>
              <w:rPr>
                <w:rFonts w:hint="eastAsia" w:ascii="宋体" w:hAnsi="宋体"/>
                <w:sz w:val="24"/>
              </w:rPr>
              <w:t>。</w:t>
            </w:r>
            <w:r>
              <w:rPr>
                <w:rFonts w:hint="eastAsia" w:ascii="宋体" w:hAnsi="宋体"/>
                <w:sz w:val="24"/>
                <w:lang w:val="en-US" w:eastAsia="zh-CN"/>
              </w:rPr>
              <w:t>最低</w:t>
            </w:r>
            <w:r>
              <w:rPr>
                <w:rFonts w:hint="eastAsia" w:ascii="宋体" w:hAnsi="宋体"/>
                <w:sz w:val="24"/>
              </w:rPr>
              <w:t>报价相同的，</w:t>
            </w:r>
            <w:r>
              <w:rPr>
                <w:rFonts w:hint="eastAsia" w:ascii="宋体" w:hAnsi="宋体" w:cs="宋体"/>
                <w:spacing w:val="-2"/>
                <w:kern w:val="0"/>
                <w:sz w:val="24"/>
              </w:rPr>
              <w:t>由采购人随机抽取方式确定</w:t>
            </w:r>
            <w:r>
              <w:rPr>
                <w:rFonts w:hint="eastAsia" w:ascii="宋体" w:hAnsi="宋体" w:cs="宋体"/>
                <w:spacing w:val="-2"/>
                <w:kern w:val="0"/>
                <w:sz w:val="24"/>
                <w:lang w:val="en-US" w:eastAsia="zh-CN"/>
              </w:rPr>
              <w:t>成交单位</w:t>
            </w:r>
            <w:r>
              <w:rPr>
                <w:rFonts w:hint="eastAsia" w:ascii="宋体" w:hAnsi="宋体" w:cs="宋体"/>
                <w:spacing w:val="-2"/>
                <w:kern w:val="0"/>
                <w:sz w:val="24"/>
              </w:rPr>
              <w:t>，</w:t>
            </w:r>
            <w:r>
              <w:rPr>
                <w:rFonts w:hint="eastAsia" w:ascii="宋体" w:hAnsi="宋体" w:cs="宋体"/>
                <w:spacing w:val="-2"/>
                <w:kern w:val="0"/>
                <w:sz w:val="24"/>
                <w:lang w:eastAsia="zh-CN"/>
              </w:rPr>
              <w:t>供应商</w:t>
            </w:r>
            <w:r>
              <w:rPr>
                <w:rFonts w:hint="eastAsia" w:ascii="宋体" w:hAnsi="宋体" w:cs="宋体"/>
                <w:spacing w:val="-2"/>
                <w:kern w:val="0"/>
                <w:sz w:val="24"/>
              </w:rPr>
              <w:t>法定代表人（或其委托代理人）应当到场并对抽取结果签字确认，未在规定时间（接到通知后半小时）内到场，视为自动</w:t>
            </w:r>
            <w:r>
              <w:rPr>
                <w:rFonts w:hint="eastAsia" w:ascii="宋体" w:hAnsi="宋体" w:cs="宋体"/>
                <w:spacing w:val="-2"/>
                <w:kern w:val="0"/>
                <w:sz w:val="24"/>
                <w:lang w:eastAsia="zh-CN"/>
              </w:rPr>
              <w:t>默认结果</w:t>
            </w:r>
            <w:r>
              <w:rPr>
                <w:rFonts w:ascii="宋体" w:cs="宋体"/>
                <w:spacing w:val="-2"/>
                <w:kern w:val="0"/>
                <w:sz w:val="24"/>
              </w:rPr>
              <w:t>,</w:t>
            </w:r>
            <w:r>
              <w:rPr>
                <w:rFonts w:hint="eastAsia" w:ascii="宋体" w:hAnsi="宋体"/>
                <w:sz w:val="24"/>
              </w:rPr>
              <w:t>具体见《询价供应商须知》第</w:t>
            </w:r>
            <w:r>
              <w:rPr>
                <w:rFonts w:ascii="宋体" w:hAnsi="宋体"/>
                <w:sz w:val="24"/>
              </w:rPr>
              <w:t>19.7</w:t>
            </w:r>
            <w:r>
              <w:rPr>
                <w:rFonts w:hint="eastAsia" w:ascii="宋体" w:hAnsi="宋体"/>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6" w:hRule="atLeast"/>
        </w:trPr>
        <w:tc>
          <w:tcPr>
            <w:tcW w:w="780" w:type="dxa"/>
            <w:noWrap/>
            <w:vAlign w:val="center"/>
          </w:tcPr>
          <w:p>
            <w:pPr>
              <w:spacing w:line="360" w:lineRule="auto"/>
              <w:rPr>
                <w:rFonts w:ascii="宋体"/>
                <w:sz w:val="24"/>
              </w:rPr>
            </w:pPr>
            <w:r>
              <w:rPr>
                <w:rFonts w:ascii="宋体" w:hAnsi="宋体"/>
                <w:sz w:val="24"/>
              </w:rPr>
              <w:t>7</w:t>
            </w:r>
          </w:p>
        </w:tc>
        <w:tc>
          <w:tcPr>
            <w:tcW w:w="945" w:type="dxa"/>
            <w:noWrap/>
            <w:vAlign w:val="center"/>
          </w:tcPr>
          <w:p>
            <w:pPr>
              <w:spacing w:line="360" w:lineRule="auto"/>
              <w:ind w:firstLine="480" w:firstLineChars="200"/>
              <w:jc w:val="center"/>
              <w:rPr>
                <w:rFonts w:ascii="宋体"/>
                <w:sz w:val="24"/>
              </w:rPr>
            </w:pPr>
          </w:p>
        </w:tc>
        <w:tc>
          <w:tcPr>
            <w:tcW w:w="7083" w:type="dxa"/>
            <w:noWrap/>
            <w:vAlign w:val="center"/>
          </w:tcPr>
          <w:p>
            <w:pPr>
              <w:spacing w:line="420" w:lineRule="exact"/>
              <w:ind w:firstLine="480" w:firstLineChars="200"/>
              <w:rPr>
                <w:rFonts w:hint="eastAsia" w:ascii="宋体" w:hAnsi="宋体"/>
                <w:sz w:val="24"/>
              </w:rPr>
            </w:pPr>
            <w:r>
              <w:rPr>
                <w:rFonts w:hint="eastAsia" w:ascii="宋体" w:hAnsi="宋体"/>
                <w:sz w:val="24"/>
              </w:rPr>
              <w:t>招标代理服务费：</w:t>
            </w:r>
          </w:p>
          <w:p>
            <w:pPr>
              <w:spacing w:line="420" w:lineRule="exact"/>
              <w:ind w:firstLine="240" w:firstLineChars="100"/>
              <w:rPr>
                <w:rFonts w:ascii="宋体"/>
                <w:sz w:val="24"/>
              </w:rPr>
            </w:pPr>
            <w:r>
              <w:rPr>
                <w:rFonts w:ascii="宋体" w:hAnsi="宋体"/>
                <w:sz w:val="24"/>
              </w:rPr>
              <w:t>1.</w:t>
            </w:r>
            <w:r>
              <w:rPr>
                <w:rFonts w:hint="eastAsia" w:ascii="宋体"/>
                <w:bCs/>
                <w:color w:val="auto"/>
                <w:kern w:val="2"/>
                <w:sz w:val="24"/>
                <w:szCs w:val="24"/>
              </w:rPr>
              <w:t>本项目招标代理费收取标准及收取方式：招标代理服务费收费标准按</w:t>
            </w:r>
            <w:r>
              <w:rPr>
                <w:rFonts w:hint="eastAsia" w:ascii="宋体"/>
                <w:bCs/>
                <w:color w:val="auto"/>
                <w:kern w:val="2"/>
                <w:sz w:val="24"/>
                <w:szCs w:val="24"/>
                <w:lang w:val="en-US" w:eastAsia="zh-CN"/>
              </w:rPr>
              <w:t>成交价</w:t>
            </w:r>
            <w:r>
              <w:rPr>
                <w:rFonts w:hint="eastAsia" w:ascii="宋体"/>
                <w:bCs/>
                <w:color w:val="auto"/>
                <w:kern w:val="2"/>
                <w:sz w:val="24"/>
                <w:szCs w:val="24"/>
              </w:rPr>
              <w:t>为基数按差额定率累进法的80%计算。成交金额（万元）100以下服务费比率 1.5％、成交金额（万元）100—500 服务费比率1.1％、成交金额（万元）500—1000服务费比率0.8％、成交金额（万元）1000—5000服务费比率0.5％，不足4000元按4000元计取；由</w:t>
            </w:r>
            <w:r>
              <w:rPr>
                <w:rFonts w:hint="eastAsia" w:ascii="宋体"/>
                <w:bCs/>
                <w:color w:val="auto"/>
                <w:kern w:val="2"/>
                <w:sz w:val="24"/>
                <w:szCs w:val="24"/>
                <w:lang w:val="en-US" w:eastAsia="zh-CN"/>
              </w:rPr>
              <w:t>成交供应商</w:t>
            </w:r>
            <w:r>
              <w:rPr>
                <w:rFonts w:hint="eastAsia" w:ascii="宋体"/>
                <w:bCs/>
                <w:color w:val="auto"/>
                <w:kern w:val="2"/>
                <w:sz w:val="24"/>
                <w:szCs w:val="24"/>
              </w:rPr>
              <w:t>在领取中选通知书前以现金或银行转账方式向招标代理机构一次性缴清上述费用，收到款项后</w:t>
            </w:r>
            <w:r>
              <w:rPr>
                <w:rFonts w:hint="eastAsia" w:ascii="宋体"/>
                <w:bCs/>
                <w:color w:val="auto"/>
                <w:kern w:val="2"/>
                <w:sz w:val="24"/>
                <w:szCs w:val="24"/>
                <w:lang w:eastAsia="zh-CN"/>
              </w:rPr>
              <w:t>龙岩城发工程造价咨询服务有限公司</w:t>
            </w:r>
            <w:r>
              <w:rPr>
                <w:rFonts w:hint="eastAsia" w:ascii="宋体"/>
                <w:bCs/>
                <w:color w:val="auto"/>
                <w:kern w:val="2"/>
                <w:sz w:val="24"/>
                <w:szCs w:val="24"/>
              </w:rPr>
              <w:t>开具正式发票</w:t>
            </w:r>
            <w:r>
              <w:rPr>
                <w:rFonts w:hint="eastAsia" w:ascii="宋体" w:hAnsi="宋体"/>
                <w:sz w:val="24"/>
              </w:rPr>
              <w:t>。</w:t>
            </w:r>
          </w:p>
          <w:p>
            <w:pPr>
              <w:spacing w:line="420" w:lineRule="exact"/>
              <w:ind w:firstLine="240" w:firstLineChars="100"/>
              <w:rPr>
                <w:rFonts w:ascii="宋体" w:cs="宋体"/>
                <w:sz w:val="24"/>
              </w:rPr>
            </w:pPr>
            <w:r>
              <w:rPr>
                <w:rFonts w:ascii="宋体" w:hAnsi="宋体"/>
                <w:sz w:val="24"/>
              </w:rPr>
              <w:t>2.</w:t>
            </w:r>
            <w:r>
              <w:rPr>
                <w:rFonts w:hint="eastAsia" w:ascii="宋体" w:hAnsi="宋体" w:cs="宋体"/>
                <w:sz w:val="24"/>
                <w:lang w:eastAsia="zh-CN"/>
              </w:rPr>
              <w:t>供应商</w:t>
            </w:r>
            <w:r>
              <w:rPr>
                <w:rFonts w:hint="eastAsia" w:ascii="宋体" w:hAnsi="宋体" w:cs="宋体"/>
                <w:sz w:val="24"/>
              </w:rPr>
              <w:t>投标时应综合考虑以上费用，但不进行单独报价及计量支付</w:t>
            </w:r>
            <w:r>
              <w:rPr>
                <w:rFonts w:ascii="宋体" w:cs="宋体"/>
                <w:sz w:val="24"/>
              </w:rPr>
              <w:t>,</w:t>
            </w:r>
            <w:r>
              <w:rPr>
                <w:rFonts w:hint="eastAsia" w:ascii="宋体" w:hAnsi="宋体" w:cs="宋体"/>
                <w:sz w:val="24"/>
              </w:rPr>
              <w:t>项目结算时也不再另行计量。</w:t>
            </w:r>
          </w:p>
          <w:p>
            <w:pPr>
              <w:spacing w:line="420" w:lineRule="exact"/>
              <w:ind w:firstLine="240" w:firstLineChars="100"/>
              <w:rPr>
                <w:rFonts w:hint="eastAsia" w:ascii="宋体" w:hAnsi="宋体"/>
                <w:sz w:val="24"/>
                <w:lang w:val="en-US" w:eastAsia="zh-CN"/>
              </w:rPr>
            </w:pPr>
            <w:r>
              <w:rPr>
                <w:rFonts w:ascii="宋体" w:hAnsi="宋体" w:cs="宋体"/>
                <w:sz w:val="24"/>
              </w:rPr>
              <w:t>3.</w:t>
            </w:r>
            <w:r>
              <w:rPr>
                <w:rFonts w:hint="eastAsia" w:ascii="宋体" w:hAnsi="宋体"/>
                <w:sz w:val="24"/>
              </w:rPr>
              <w:t>招标代理服务费缴交账户</w:t>
            </w:r>
            <w:r>
              <w:rPr>
                <w:rFonts w:hint="eastAsia" w:ascii="宋体" w:hAnsi="宋体"/>
                <w:sz w:val="24"/>
                <w:lang w:val="en-US" w:eastAsia="zh-CN"/>
              </w:rPr>
              <w:t>如下：</w:t>
            </w:r>
          </w:p>
          <w:p>
            <w:pPr>
              <w:spacing w:line="420" w:lineRule="exact"/>
              <w:ind w:firstLine="480" w:firstLineChars="200"/>
              <w:rPr>
                <w:rFonts w:hint="eastAsia" w:ascii="宋体" w:eastAsia="宋体"/>
                <w:sz w:val="24"/>
                <w:lang w:eastAsia="zh-CN"/>
              </w:rPr>
            </w:pPr>
            <w:r>
              <w:rPr>
                <w:rFonts w:hint="eastAsia" w:ascii="宋体" w:hAnsi="宋体"/>
                <w:sz w:val="24"/>
                <w:lang w:val="en-US" w:eastAsia="zh-CN"/>
              </w:rPr>
              <w:t>开户名</w:t>
            </w:r>
            <w:r>
              <w:rPr>
                <w:rFonts w:hint="eastAsia" w:ascii="宋体" w:hAnsi="宋体"/>
                <w:sz w:val="24"/>
              </w:rPr>
              <w:t>：</w:t>
            </w:r>
            <w:r>
              <w:rPr>
                <w:rFonts w:hint="eastAsia" w:ascii="宋体" w:hAnsi="宋体"/>
                <w:sz w:val="24"/>
                <w:lang w:eastAsia="zh-CN"/>
              </w:rPr>
              <w:t>龙岩城发工程造价咨询服务有限公司</w:t>
            </w:r>
          </w:p>
          <w:p>
            <w:pPr>
              <w:spacing w:line="380" w:lineRule="exact"/>
              <w:ind w:firstLine="480" w:firstLineChars="200"/>
              <w:rPr>
                <w:rFonts w:ascii="宋体" w:cs="宋体"/>
                <w:bCs/>
                <w:kern w:val="0"/>
                <w:sz w:val="24"/>
              </w:rPr>
            </w:pPr>
            <w:r>
              <w:rPr>
                <w:rFonts w:hint="eastAsia" w:ascii="宋体" w:hAnsi="宋体" w:cs="宋体"/>
                <w:bCs/>
                <w:kern w:val="0"/>
                <w:sz w:val="24"/>
              </w:rPr>
              <w:t>开户银行：建设银行龙岩分行</w:t>
            </w:r>
          </w:p>
          <w:p>
            <w:pPr>
              <w:spacing w:line="380" w:lineRule="exact"/>
              <w:ind w:firstLine="480" w:firstLineChars="200"/>
              <w:rPr>
                <w:rFonts w:hint="eastAsia" w:hAnsi="宋体" w:eastAsia="宋体"/>
                <w:sz w:val="24"/>
                <w:lang w:eastAsia="zh-CN"/>
              </w:rPr>
            </w:pPr>
            <w:r>
              <w:rPr>
                <w:rFonts w:hint="eastAsia" w:ascii="宋体" w:hAnsi="宋体" w:cs="宋体"/>
                <w:bCs/>
                <w:kern w:val="0"/>
                <w:sz w:val="24"/>
              </w:rPr>
              <w:t>账</w:t>
            </w:r>
            <w:r>
              <w:rPr>
                <w:rFonts w:ascii="宋体" w:hAnsi="宋体" w:cs="宋体"/>
                <w:bCs/>
                <w:kern w:val="0"/>
                <w:sz w:val="24"/>
              </w:rPr>
              <w:t xml:space="preserve">  </w:t>
            </w:r>
            <w:r>
              <w:rPr>
                <w:rFonts w:hint="eastAsia" w:ascii="宋体" w:hAnsi="宋体" w:cs="宋体"/>
                <w:bCs/>
                <w:kern w:val="0"/>
                <w:sz w:val="24"/>
              </w:rPr>
              <w:t>号</w:t>
            </w:r>
            <w:r>
              <w:rPr>
                <w:rFonts w:ascii="宋体" w:hAnsi="宋体" w:cs="宋体"/>
                <w:bCs/>
                <w:kern w:val="0"/>
                <w:sz w:val="24"/>
              </w:rPr>
              <w:t xml:space="preserve">: </w:t>
            </w:r>
            <w:r>
              <w:rPr>
                <w:rFonts w:hint="eastAsia" w:ascii="宋体" w:hAnsi="宋体" w:cs="宋体"/>
                <w:bCs/>
                <w:kern w:val="0"/>
                <w:sz w:val="24"/>
                <w:lang w:eastAsia="zh-CN"/>
              </w:rPr>
              <w:t>35001692490050003579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80" w:type="dxa"/>
            <w:noWrap/>
            <w:vAlign w:val="center"/>
          </w:tcPr>
          <w:p>
            <w:pPr>
              <w:spacing w:line="360" w:lineRule="auto"/>
              <w:rPr>
                <w:rFonts w:ascii="宋体"/>
                <w:sz w:val="24"/>
              </w:rPr>
            </w:pPr>
            <w:r>
              <w:rPr>
                <w:rFonts w:ascii="宋体" w:hAnsi="宋体"/>
                <w:sz w:val="24"/>
              </w:rPr>
              <w:t>8</w:t>
            </w:r>
          </w:p>
        </w:tc>
        <w:tc>
          <w:tcPr>
            <w:tcW w:w="945" w:type="dxa"/>
            <w:noWrap/>
            <w:vAlign w:val="center"/>
          </w:tcPr>
          <w:p>
            <w:pPr>
              <w:spacing w:line="360" w:lineRule="auto"/>
              <w:ind w:firstLine="480" w:firstLineChars="200"/>
              <w:jc w:val="center"/>
              <w:rPr>
                <w:rFonts w:ascii="宋体"/>
                <w:sz w:val="24"/>
              </w:rPr>
            </w:pPr>
          </w:p>
        </w:tc>
        <w:tc>
          <w:tcPr>
            <w:tcW w:w="7083" w:type="dxa"/>
            <w:noWrap/>
            <w:vAlign w:val="center"/>
          </w:tcPr>
          <w:p>
            <w:pPr>
              <w:spacing w:line="360" w:lineRule="auto"/>
              <w:ind w:firstLine="480" w:firstLineChars="200"/>
              <w:rPr>
                <w:rFonts w:ascii="宋体"/>
                <w:sz w:val="24"/>
              </w:rPr>
            </w:pPr>
            <w:r>
              <w:rPr>
                <w:rFonts w:hint="eastAsia" w:ascii="宋体" w:hAnsi="宋体"/>
                <w:sz w:val="24"/>
              </w:rPr>
              <w:t>采购项目行政监督部门：</w:t>
            </w:r>
            <w:r>
              <w:rPr>
                <w:rFonts w:hint="eastAsia" w:ascii="宋体" w:hAnsi="宋体"/>
                <w:color w:val="auto"/>
                <w:sz w:val="24"/>
              </w:rPr>
              <w:t xml:space="preserve">龙岩城市发展集团有限公司监察室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80" w:type="dxa"/>
            <w:noWrap/>
            <w:vAlign w:val="center"/>
          </w:tcPr>
          <w:p>
            <w:pPr>
              <w:spacing w:line="360" w:lineRule="auto"/>
              <w:rPr>
                <w:rFonts w:ascii="宋体"/>
                <w:sz w:val="24"/>
              </w:rPr>
            </w:pPr>
            <w:r>
              <w:rPr>
                <w:rFonts w:ascii="宋体" w:hAnsi="宋体"/>
                <w:sz w:val="24"/>
              </w:rPr>
              <w:t>9</w:t>
            </w:r>
          </w:p>
        </w:tc>
        <w:tc>
          <w:tcPr>
            <w:tcW w:w="945" w:type="dxa"/>
            <w:noWrap/>
            <w:vAlign w:val="center"/>
          </w:tcPr>
          <w:p>
            <w:pPr>
              <w:spacing w:line="360" w:lineRule="auto"/>
              <w:ind w:firstLine="480" w:firstLineChars="200"/>
              <w:jc w:val="both"/>
              <w:rPr>
                <w:rFonts w:ascii="宋体"/>
                <w:sz w:val="24"/>
              </w:rPr>
            </w:pPr>
          </w:p>
        </w:tc>
        <w:tc>
          <w:tcPr>
            <w:tcW w:w="7083" w:type="dxa"/>
            <w:noWrap/>
            <w:vAlign w:val="center"/>
          </w:tcPr>
          <w:p>
            <w:pPr>
              <w:spacing w:line="360" w:lineRule="auto"/>
              <w:ind w:firstLine="482" w:firstLineChars="200"/>
              <w:rPr>
                <w:rFonts w:ascii="宋体"/>
                <w:b/>
                <w:color w:val="auto"/>
                <w:sz w:val="24"/>
                <w:highlight w:val="yellow"/>
                <w:u w:val="single"/>
              </w:rPr>
            </w:pPr>
            <w:r>
              <w:rPr>
                <w:rFonts w:hint="eastAsia" w:ascii="宋体" w:hAnsi="宋体"/>
                <w:b/>
                <w:color w:val="auto"/>
                <w:sz w:val="24"/>
              </w:rPr>
              <w:t>本项目采购总价为：</w:t>
            </w:r>
            <w:r>
              <w:rPr>
                <w:rFonts w:hint="eastAsia" w:ascii="宋体" w:hAnsi="宋体"/>
                <w:b/>
                <w:color w:val="auto"/>
                <w:sz w:val="24"/>
                <w:u w:val="single"/>
                <w:lang w:val="en-US" w:eastAsia="zh-CN"/>
              </w:rPr>
              <w:t>500000</w:t>
            </w:r>
            <w:r>
              <w:rPr>
                <w:rFonts w:hint="eastAsia" w:ascii="宋体" w:hAnsi="宋体"/>
                <w:b/>
                <w:color w:val="auto"/>
                <w:sz w:val="24"/>
                <w:u w:val="single"/>
              </w:rPr>
              <w:t>元。</w:t>
            </w:r>
          </w:p>
          <w:p>
            <w:pPr>
              <w:spacing w:line="360" w:lineRule="auto"/>
              <w:ind w:firstLine="480" w:firstLineChars="200"/>
              <w:rPr>
                <w:rFonts w:ascii="宋体"/>
                <w:sz w:val="24"/>
              </w:rPr>
            </w:pPr>
            <w:r>
              <w:rPr>
                <w:rFonts w:hint="eastAsia" w:ascii="宋体" w:hAnsi="宋体"/>
                <w:bCs/>
                <w:sz w:val="24"/>
              </w:rPr>
              <w:t>本项目</w:t>
            </w:r>
            <w:r>
              <w:rPr>
                <w:rFonts w:hint="eastAsia" w:ascii="宋体" w:hAnsi="宋体"/>
                <w:bCs/>
                <w:sz w:val="24"/>
                <w:lang w:val="en-US" w:eastAsia="zh-CN"/>
              </w:rPr>
              <w:t>合同包</w:t>
            </w:r>
            <w:r>
              <w:rPr>
                <w:rFonts w:hint="eastAsia" w:ascii="宋体" w:hAnsi="宋体"/>
                <w:bCs/>
                <w:sz w:val="24"/>
              </w:rPr>
              <w:t>设有</w:t>
            </w:r>
            <w:r>
              <w:rPr>
                <w:rFonts w:hint="eastAsia" w:ascii="宋体" w:hAnsi="宋体"/>
                <w:bCs/>
                <w:sz w:val="24"/>
                <w:lang w:eastAsia="zh-CN"/>
              </w:rPr>
              <w:t>采购总价和采购单价</w:t>
            </w:r>
            <w:r>
              <w:rPr>
                <w:rFonts w:hint="eastAsia" w:ascii="宋体" w:hAnsi="宋体"/>
                <w:bCs/>
                <w:sz w:val="24"/>
              </w:rPr>
              <w:t>，询价供应商报价超过</w:t>
            </w:r>
            <w:r>
              <w:rPr>
                <w:rFonts w:hint="eastAsia" w:ascii="宋体" w:hAnsi="宋体"/>
                <w:bCs/>
                <w:sz w:val="24"/>
                <w:lang w:eastAsia="zh-CN"/>
              </w:rPr>
              <w:t>采购总价和采购单价</w:t>
            </w:r>
            <w:r>
              <w:rPr>
                <w:rFonts w:hint="eastAsia" w:ascii="宋体" w:hAnsi="宋体"/>
                <w:bCs/>
                <w:sz w:val="24"/>
              </w:rPr>
              <w:t>的，询价将被拒绝。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noWrap/>
            <w:vAlign w:val="center"/>
          </w:tcPr>
          <w:p>
            <w:pPr>
              <w:spacing w:line="360" w:lineRule="auto"/>
              <w:rPr>
                <w:rFonts w:ascii="宋体"/>
                <w:sz w:val="24"/>
              </w:rPr>
            </w:pPr>
            <w:r>
              <w:rPr>
                <w:rFonts w:ascii="宋体" w:hAnsi="宋体"/>
                <w:sz w:val="24"/>
              </w:rPr>
              <w:t>10</w:t>
            </w:r>
          </w:p>
        </w:tc>
        <w:tc>
          <w:tcPr>
            <w:tcW w:w="945" w:type="dxa"/>
            <w:noWrap/>
            <w:vAlign w:val="center"/>
          </w:tcPr>
          <w:p>
            <w:pPr>
              <w:spacing w:line="360" w:lineRule="auto"/>
              <w:ind w:firstLine="480" w:firstLineChars="200"/>
              <w:jc w:val="center"/>
              <w:rPr>
                <w:rFonts w:ascii="宋体"/>
                <w:color w:val="auto"/>
                <w:sz w:val="24"/>
              </w:rPr>
            </w:pPr>
          </w:p>
        </w:tc>
        <w:tc>
          <w:tcPr>
            <w:tcW w:w="7083" w:type="dxa"/>
            <w:noWrap/>
            <w:vAlign w:val="center"/>
          </w:tcPr>
          <w:p>
            <w:pPr>
              <w:spacing w:line="360" w:lineRule="auto"/>
              <w:ind w:firstLine="240" w:firstLineChars="100"/>
              <w:rPr>
                <w:rFonts w:ascii="宋体"/>
                <w:color w:val="auto"/>
                <w:sz w:val="24"/>
              </w:rPr>
            </w:pPr>
            <w:r>
              <w:rPr>
                <w:rFonts w:hint="eastAsia" w:ascii="宋体" w:hAnsi="宋体"/>
                <w:color w:val="auto"/>
                <w:sz w:val="24"/>
                <w:lang w:val="en-US" w:eastAsia="zh-CN"/>
              </w:rPr>
              <w:t>1、</w:t>
            </w:r>
            <w:r>
              <w:rPr>
                <w:rFonts w:hint="eastAsia" w:ascii="宋体" w:hAnsi="宋体"/>
                <w:color w:val="auto"/>
                <w:sz w:val="24"/>
              </w:rPr>
              <w:t>货款支付：本项目由</w:t>
            </w:r>
            <w:r>
              <w:rPr>
                <w:rFonts w:hint="eastAsia" w:ascii="宋体" w:hAnsi="宋体"/>
                <w:bCs/>
                <w:color w:val="auto"/>
                <w:sz w:val="24"/>
              </w:rPr>
              <w:t>采购人</w:t>
            </w:r>
            <w:r>
              <w:rPr>
                <w:rFonts w:hint="eastAsia" w:ascii="宋体" w:hAnsi="宋体"/>
                <w:color w:val="auto"/>
                <w:sz w:val="24"/>
              </w:rPr>
              <w:t>进行货款支付。</w:t>
            </w:r>
          </w:p>
          <w:p>
            <w:pPr>
              <w:spacing w:line="360" w:lineRule="auto"/>
              <w:ind w:firstLine="240" w:firstLineChars="100"/>
              <w:rPr>
                <w:rFonts w:hint="eastAsia" w:ascii="宋体" w:hAnsi="宋体"/>
                <w:color w:val="auto"/>
                <w:sz w:val="24"/>
                <w:lang w:val="en-US" w:eastAsia="zh-CN"/>
              </w:rPr>
            </w:pPr>
            <w:r>
              <w:rPr>
                <w:rFonts w:hint="eastAsia" w:ascii="宋体" w:hAnsi="宋体"/>
                <w:color w:val="auto"/>
                <w:sz w:val="24"/>
                <w:lang w:val="en-US" w:eastAsia="zh-CN"/>
              </w:rPr>
              <w:t>2、</w:t>
            </w:r>
            <w:r>
              <w:rPr>
                <w:rFonts w:hint="eastAsia" w:hAnsi="宋体"/>
                <w:color w:val="auto"/>
                <w:sz w:val="24"/>
              </w:rPr>
              <w:t>付款方式：</w:t>
            </w:r>
          </w:p>
          <w:p>
            <w:pPr>
              <w:spacing w:line="460" w:lineRule="exact"/>
              <w:ind w:firstLine="240" w:firstLineChars="10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①设备材料全部到货并开箱验收合格后5</w:t>
            </w:r>
            <w:r>
              <w:rPr>
                <w:rFonts w:hint="eastAsia" w:asciiTheme="majorEastAsia" w:hAnsiTheme="majorEastAsia" w:eastAsiaTheme="majorEastAsia" w:cstheme="majorEastAsia"/>
                <w:color w:val="auto"/>
                <w:sz w:val="24"/>
                <w:szCs w:val="24"/>
                <w:lang w:val="en-US" w:eastAsia="zh-CN"/>
              </w:rPr>
              <w:t>个工作</w:t>
            </w:r>
            <w:r>
              <w:rPr>
                <w:rFonts w:hint="eastAsia" w:asciiTheme="majorEastAsia" w:hAnsiTheme="majorEastAsia" w:eastAsiaTheme="majorEastAsia" w:cstheme="majorEastAsia"/>
                <w:color w:val="auto"/>
                <w:sz w:val="24"/>
                <w:szCs w:val="24"/>
              </w:rPr>
              <w:t>日内支付总设备款8</w:t>
            </w:r>
            <w:r>
              <w:rPr>
                <w:rFonts w:hint="eastAsia" w:asciiTheme="majorEastAsia" w:hAnsiTheme="majorEastAsia" w:eastAsiaTheme="majorEastAsia" w:cstheme="majorEastAsia"/>
                <w:color w:val="auto"/>
                <w:sz w:val="24"/>
                <w:szCs w:val="24"/>
                <w:lang w:val="en-US" w:eastAsia="zh-CN"/>
              </w:rPr>
              <w:t>5</w:t>
            </w:r>
            <w:r>
              <w:rPr>
                <w:rFonts w:hint="eastAsia" w:asciiTheme="majorEastAsia" w:hAnsiTheme="majorEastAsia" w:eastAsiaTheme="majorEastAsia" w:cstheme="majorEastAsia"/>
                <w:color w:val="auto"/>
                <w:sz w:val="24"/>
                <w:szCs w:val="24"/>
              </w:rPr>
              <w:t>%；</w:t>
            </w:r>
          </w:p>
          <w:p>
            <w:pPr>
              <w:pStyle w:val="18"/>
              <w:spacing w:line="460" w:lineRule="exact"/>
              <w:ind w:left="230" w:hanging="1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②设备材料进行安</w:t>
            </w:r>
            <w:r>
              <w:rPr>
                <w:rFonts w:hint="eastAsia" w:asciiTheme="majorEastAsia" w:hAnsiTheme="majorEastAsia" w:eastAsiaTheme="majorEastAsia" w:cstheme="majorEastAsia"/>
                <w:b w:val="0"/>
                <w:bCs w:val="0"/>
                <w:color w:val="auto"/>
                <w:sz w:val="24"/>
                <w:szCs w:val="24"/>
              </w:rPr>
              <w:t>装</w:t>
            </w:r>
            <w:r>
              <w:rPr>
                <w:rFonts w:hint="eastAsia" w:asciiTheme="majorEastAsia" w:hAnsiTheme="majorEastAsia" w:eastAsiaTheme="majorEastAsia" w:cstheme="majorEastAsia"/>
                <w:b w:val="0"/>
                <w:bCs w:val="0"/>
                <w:color w:val="auto"/>
                <w:sz w:val="24"/>
                <w:szCs w:val="24"/>
                <w:lang w:val="en-US" w:eastAsia="zh-CN"/>
              </w:rPr>
              <w:t>调试</w:t>
            </w:r>
            <w:r>
              <w:rPr>
                <w:rFonts w:hint="eastAsia" w:asciiTheme="majorEastAsia" w:hAnsiTheme="majorEastAsia" w:eastAsiaTheme="majorEastAsia" w:cstheme="majorEastAsia"/>
                <w:b w:val="0"/>
                <w:bCs w:val="0"/>
                <w:color w:val="auto"/>
                <w:sz w:val="24"/>
                <w:szCs w:val="24"/>
              </w:rPr>
              <w:t>后，</w:t>
            </w:r>
            <w:r>
              <w:rPr>
                <w:rFonts w:hint="eastAsia" w:asciiTheme="majorEastAsia" w:hAnsiTheme="majorEastAsia" w:eastAsiaTheme="majorEastAsia" w:cstheme="majorEastAsia"/>
                <w:b w:val="0"/>
                <w:bCs w:val="0"/>
                <w:color w:val="auto"/>
                <w:sz w:val="24"/>
                <w:szCs w:val="24"/>
                <w:lang w:val="en-US" w:eastAsia="zh-CN"/>
              </w:rPr>
              <w:t>供应商</w:t>
            </w:r>
            <w:r>
              <w:rPr>
                <w:rFonts w:hint="eastAsia" w:asciiTheme="majorEastAsia" w:hAnsiTheme="majorEastAsia" w:eastAsiaTheme="majorEastAsia" w:cstheme="majorEastAsia"/>
                <w:b w:val="0"/>
                <w:bCs w:val="0"/>
                <w:color w:val="auto"/>
                <w:sz w:val="24"/>
                <w:szCs w:val="24"/>
              </w:rPr>
              <w:t>配合调试完毕并经</w:t>
            </w:r>
            <w:r>
              <w:rPr>
                <w:rFonts w:hint="eastAsia" w:asciiTheme="majorEastAsia" w:hAnsiTheme="majorEastAsia" w:eastAsiaTheme="majorEastAsia" w:cstheme="majorEastAsia"/>
                <w:b w:val="0"/>
                <w:bCs w:val="0"/>
                <w:color w:val="auto"/>
                <w:sz w:val="24"/>
                <w:szCs w:val="24"/>
                <w:lang w:val="en-US" w:eastAsia="zh-CN"/>
              </w:rPr>
              <w:t>采购方</w:t>
            </w:r>
            <w:r>
              <w:rPr>
                <w:rFonts w:hint="eastAsia" w:asciiTheme="majorEastAsia" w:hAnsiTheme="majorEastAsia" w:eastAsiaTheme="majorEastAsia" w:cstheme="majorEastAsia"/>
                <w:b w:val="0"/>
                <w:bCs w:val="0"/>
                <w:color w:val="auto"/>
                <w:sz w:val="24"/>
                <w:szCs w:val="24"/>
              </w:rPr>
              <w:t>验收合格后5</w:t>
            </w:r>
            <w:r>
              <w:rPr>
                <w:rFonts w:hint="eastAsia" w:asciiTheme="majorEastAsia" w:hAnsiTheme="majorEastAsia" w:eastAsiaTheme="majorEastAsia" w:cstheme="majorEastAsia"/>
                <w:b w:val="0"/>
                <w:bCs w:val="0"/>
                <w:color w:val="auto"/>
                <w:sz w:val="24"/>
                <w:szCs w:val="24"/>
                <w:lang w:val="en-US" w:eastAsia="zh-CN"/>
              </w:rPr>
              <w:t>个工作</w:t>
            </w:r>
            <w:r>
              <w:rPr>
                <w:rFonts w:hint="eastAsia" w:asciiTheme="majorEastAsia" w:hAnsiTheme="majorEastAsia" w:eastAsiaTheme="majorEastAsia" w:cstheme="majorEastAsia"/>
                <w:b w:val="0"/>
                <w:bCs w:val="0"/>
                <w:color w:val="auto"/>
                <w:sz w:val="24"/>
                <w:szCs w:val="24"/>
              </w:rPr>
              <w:t>日内支付至总设备款的97%；</w:t>
            </w:r>
          </w:p>
          <w:p>
            <w:pPr>
              <w:spacing w:line="460" w:lineRule="exact"/>
              <w:ind w:firstLine="240" w:firstLineChars="10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③设备余款3%作为质保金，质保期满后支付设备余款。</w:t>
            </w:r>
          </w:p>
          <w:p>
            <w:pPr>
              <w:pStyle w:val="17"/>
              <w:spacing w:line="360" w:lineRule="auto"/>
              <w:ind w:firstLine="480" w:firstLineChars="200"/>
              <w:jc w:val="left"/>
              <w:rPr>
                <w:rFonts w:hAnsi="宋体"/>
                <w:color w:val="auto"/>
                <w:sz w:val="24"/>
              </w:rPr>
            </w:pPr>
            <w:r>
              <w:rPr>
                <w:rFonts w:hint="eastAsia" w:hAnsi="宋体"/>
                <w:color w:val="auto"/>
                <w:sz w:val="24"/>
              </w:rPr>
              <w:t>注：</w:t>
            </w:r>
            <w:r>
              <w:rPr>
                <w:rFonts w:hint="eastAsia" w:hAnsi="宋体"/>
                <w:color w:val="auto"/>
                <w:sz w:val="24"/>
                <w:lang w:eastAsia="zh-CN"/>
              </w:rPr>
              <w:t>（</w:t>
            </w:r>
            <w:r>
              <w:rPr>
                <w:rFonts w:hint="eastAsia" w:hAnsi="宋体"/>
                <w:color w:val="auto"/>
                <w:sz w:val="24"/>
                <w:lang w:val="en-US" w:eastAsia="zh-CN"/>
              </w:rPr>
              <w:t>1）</w:t>
            </w:r>
            <w:r>
              <w:rPr>
                <w:rFonts w:hint="eastAsia" w:hAnsi="宋体"/>
                <w:color w:val="auto"/>
                <w:sz w:val="24"/>
              </w:rPr>
              <w:t>供应商每次支取</w:t>
            </w:r>
            <w:r>
              <w:rPr>
                <w:rFonts w:hint="eastAsia" w:hAnsi="宋体"/>
                <w:color w:val="auto"/>
                <w:sz w:val="24"/>
                <w:lang w:eastAsia="zh-CN"/>
              </w:rPr>
              <w:t>设备款</w:t>
            </w:r>
            <w:r>
              <w:rPr>
                <w:rFonts w:hint="eastAsia" w:hAnsi="宋体"/>
                <w:color w:val="auto"/>
                <w:sz w:val="24"/>
              </w:rPr>
              <w:t>时应提交同等金额的增值税专用发票（最终验收合格支取</w:t>
            </w:r>
            <w:r>
              <w:rPr>
                <w:rFonts w:hint="eastAsia" w:hAnsi="宋体"/>
                <w:color w:val="auto"/>
                <w:sz w:val="24"/>
                <w:lang w:eastAsia="zh-CN"/>
              </w:rPr>
              <w:t>设备款</w:t>
            </w:r>
            <w:r>
              <w:rPr>
                <w:rFonts w:hint="eastAsia" w:hAnsi="宋体"/>
                <w:color w:val="auto"/>
                <w:sz w:val="24"/>
              </w:rPr>
              <w:t>时应提交至合同金额</w:t>
            </w:r>
            <w:r>
              <w:rPr>
                <w:rFonts w:hAnsi="宋体"/>
                <w:color w:val="auto"/>
                <w:sz w:val="24"/>
              </w:rPr>
              <w:t>100%</w:t>
            </w:r>
            <w:r>
              <w:rPr>
                <w:rFonts w:hint="eastAsia" w:hAnsi="宋体"/>
                <w:color w:val="auto"/>
                <w:sz w:val="24"/>
              </w:rPr>
              <w:t>的增值税专用发票）。</w:t>
            </w:r>
            <w:r>
              <w:rPr>
                <w:rFonts w:hint="eastAsia" w:hAnsi="宋体"/>
                <w:color w:val="auto"/>
                <w:sz w:val="24"/>
                <w:lang w:eastAsia="zh-CN"/>
              </w:rPr>
              <w:t>（</w:t>
            </w:r>
            <w:r>
              <w:rPr>
                <w:rFonts w:hint="eastAsia" w:hAnsi="宋体"/>
                <w:color w:val="auto"/>
                <w:sz w:val="24"/>
                <w:lang w:val="en-US" w:eastAsia="zh-CN"/>
              </w:rPr>
              <w:t>2）</w:t>
            </w:r>
            <w:r>
              <w:rPr>
                <w:rFonts w:hint="eastAsia" w:hAnsi="宋体"/>
                <w:color w:val="auto"/>
                <w:sz w:val="24"/>
              </w:rPr>
              <w:t>询价供应商</w:t>
            </w:r>
            <w:r>
              <w:rPr>
                <w:rFonts w:hint="eastAsia" w:hAnsi="宋体"/>
                <w:color w:val="auto"/>
                <w:sz w:val="24"/>
                <w:lang w:eastAsia="zh-CN"/>
              </w:rPr>
              <w:t>成交</w:t>
            </w:r>
            <w:r>
              <w:rPr>
                <w:rFonts w:hint="eastAsia" w:hAnsi="宋体"/>
                <w:color w:val="auto"/>
                <w:sz w:val="24"/>
              </w:rPr>
              <w:t>后，应与采购人签订采购合同。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noWrap/>
            <w:vAlign w:val="center"/>
          </w:tcPr>
          <w:p>
            <w:pPr>
              <w:spacing w:line="360" w:lineRule="auto"/>
              <w:rPr>
                <w:rFonts w:ascii="宋体"/>
                <w:sz w:val="24"/>
              </w:rPr>
            </w:pPr>
            <w:r>
              <w:rPr>
                <w:rFonts w:ascii="宋体" w:hAnsi="宋体"/>
                <w:sz w:val="24"/>
              </w:rPr>
              <w:t>11</w:t>
            </w:r>
          </w:p>
        </w:tc>
        <w:tc>
          <w:tcPr>
            <w:tcW w:w="945" w:type="dxa"/>
            <w:noWrap/>
            <w:vAlign w:val="center"/>
          </w:tcPr>
          <w:p>
            <w:pPr>
              <w:spacing w:line="360" w:lineRule="auto"/>
              <w:rPr>
                <w:rFonts w:ascii="宋体"/>
                <w:sz w:val="24"/>
              </w:rPr>
            </w:pPr>
          </w:p>
        </w:tc>
        <w:tc>
          <w:tcPr>
            <w:tcW w:w="7083" w:type="dxa"/>
            <w:noWrap/>
            <w:vAlign w:val="center"/>
          </w:tcPr>
          <w:p>
            <w:pPr>
              <w:spacing w:line="360" w:lineRule="auto"/>
              <w:rPr>
                <w:rFonts w:ascii="宋体"/>
                <w:sz w:val="24"/>
              </w:rPr>
            </w:pPr>
            <w:r>
              <w:rPr>
                <w:rFonts w:hint="eastAsia" w:ascii="宋体" w:hAnsi="宋体"/>
                <w:sz w:val="24"/>
              </w:rPr>
              <w:t>无效投标及废标具体条款：</w:t>
            </w:r>
          </w:p>
          <w:p>
            <w:pPr>
              <w:numPr>
                <w:ilvl w:val="0"/>
                <w:numId w:val="6"/>
              </w:numPr>
              <w:spacing w:line="360" w:lineRule="auto"/>
            </w:pPr>
            <w:r>
              <w:rPr>
                <w:rFonts w:hint="eastAsia" w:ascii="宋体" w:hAnsi="宋体"/>
                <w:sz w:val="24"/>
              </w:rPr>
              <w:t>第二章询价供应商须知</w:t>
            </w:r>
            <w:r>
              <w:rPr>
                <w:rFonts w:ascii="宋体" w:hAnsi="宋体"/>
                <w:sz w:val="24"/>
              </w:rPr>
              <w:t>17.3</w:t>
            </w:r>
            <w:r>
              <w:rPr>
                <w:rFonts w:hint="eastAsia" w:ascii="宋体" w:hAnsi="宋体"/>
                <w:sz w:val="24"/>
              </w:rPr>
              <w:t>、</w:t>
            </w:r>
            <w:r>
              <w:rPr>
                <w:rFonts w:ascii="宋体" w:hAnsi="宋体"/>
                <w:sz w:val="24"/>
              </w:rPr>
              <w:t>19.2</w:t>
            </w:r>
            <w:r>
              <w:rPr>
                <w:rFonts w:hint="eastAsia" w:ascii="宋体" w:hAnsi="宋体"/>
                <w:sz w:val="24"/>
              </w:rPr>
              <w:t>、</w:t>
            </w:r>
            <w:r>
              <w:rPr>
                <w:rFonts w:ascii="宋体" w:hAnsi="宋体"/>
                <w:sz w:val="24"/>
              </w:rPr>
              <w:t>19.4</w:t>
            </w:r>
            <w:r>
              <w:rPr>
                <w:rFonts w:hint="eastAsia" w:ascii="宋体" w:hAnsi="宋体"/>
                <w:sz w:val="24"/>
              </w:rPr>
              <w:t>、</w:t>
            </w:r>
            <w:r>
              <w:rPr>
                <w:rFonts w:ascii="宋体" w:hAnsi="宋体"/>
                <w:sz w:val="24"/>
              </w:rPr>
              <w:t>19.5</w:t>
            </w:r>
            <w:r>
              <w:rPr>
                <w:rFonts w:hint="eastAsia" w:ascii="宋体" w:hAnsi="宋体"/>
                <w:sz w:val="24"/>
              </w:rPr>
              <w:t>；</w:t>
            </w:r>
          </w:p>
          <w:p>
            <w:pPr>
              <w:spacing w:line="360" w:lineRule="auto"/>
              <w:rPr>
                <w:rFonts w:ascii="宋体"/>
                <w:sz w:val="24"/>
              </w:rPr>
            </w:pPr>
            <w:r>
              <w:rPr>
                <w:rFonts w:ascii="宋体" w:hAnsi="宋体"/>
                <w:sz w:val="24"/>
              </w:rPr>
              <w:t>2</w:t>
            </w:r>
            <w:r>
              <w:rPr>
                <w:rFonts w:hint="eastAsia" w:ascii="宋体" w:hAnsi="宋体"/>
                <w:sz w:val="24"/>
              </w:rPr>
              <w:t>、第三章询价内容及要求“备注：</w:t>
            </w:r>
            <w:r>
              <w:rPr>
                <w:rFonts w:ascii="宋体" w:hAnsi="宋体"/>
                <w:sz w:val="24"/>
              </w:rPr>
              <w:t>1</w:t>
            </w:r>
            <w:r>
              <w:rPr>
                <w:rFonts w:hint="eastAsia" w:ascii="宋体" w:hAnsi="宋体"/>
                <w:sz w:val="24"/>
              </w:rPr>
              <w:t>、供应商投报时须实质性满足《第三章</w:t>
            </w:r>
            <w:r>
              <w:rPr>
                <w:rFonts w:ascii="宋体" w:hAnsi="宋体"/>
                <w:sz w:val="24"/>
              </w:rPr>
              <w:t xml:space="preserve">  </w:t>
            </w:r>
            <w:r>
              <w:rPr>
                <w:rFonts w:hint="eastAsia" w:ascii="宋体" w:hAnsi="宋体"/>
                <w:sz w:val="24"/>
              </w:rPr>
              <w:t>询价内容及要求》</w:t>
            </w:r>
            <w:r>
              <w:rPr>
                <w:rFonts w:ascii="宋体" w:hAnsi="宋体"/>
                <w:sz w:val="24"/>
              </w:rPr>
              <w:t xml:space="preserve"> </w:t>
            </w:r>
            <w:r>
              <w:rPr>
                <w:rFonts w:hint="eastAsia" w:ascii="宋体" w:hAnsi="宋体"/>
                <w:sz w:val="24"/>
              </w:rPr>
              <w:t>“二、技术参数及要求”、“三、商务条件”的所有要求，否则视为重大偏离，报价无效。成交供应商如无法按上述要求实施的，采购人有权终止合同。”</w:t>
            </w:r>
          </w:p>
          <w:p>
            <w:pPr>
              <w:spacing w:line="360" w:lineRule="auto"/>
              <w:rPr>
                <w:rFonts w:ascii="宋体"/>
                <w:sz w:val="24"/>
              </w:rPr>
            </w:pPr>
            <w:r>
              <w:rPr>
                <w:rFonts w:ascii="宋体" w:hAnsi="宋体"/>
                <w:sz w:val="24"/>
              </w:rPr>
              <w:t>3</w:t>
            </w:r>
            <w:r>
              <w:rPr>
                <w:rFonts w:hint="eastAsia" w:ascii="宋体" w:hAnsi="宋体"/>
                <w:sz w:val="24"/>
              </w:rPr>
              <w:t>、第三章询价内容及要求“注：</w:t>
            </w:r>
            <w:r>
              <w:rPr>
                <w:rFonts w:ascii="宋体" w:hAnsi="宋体"/>
                <w:sz w:val="24"/>
              </w:rPr>
              <w:t>3.</w:t>
            </w:r>
            <w:r>
              <w:rPr>
                <w:rFonts w:hint="eastAsia" w:ascii="宋体" w:hAnsi="宋体"/>
                <w:sz w:val="24"/>
              </w:rPr>
              <w:t>供应商须在《第五章</w:t>
            </w:r>
            <w:r>
              <w:rPr>
                <w:rFonts w:ascii="宋体" w:hAnsi="宋体"/>
                <w:sz w:val="24"/>
              </w:rPr>
              <w:t xml:space="preserve"> </w:t>
            </w:r>
            <w:r>
              <w:rPr>
                <w:rFonts w:hint="eastAsia" w:ascii="宋体" w:hAnsi="宋体"/>
                <w:sz w:val="24"/>
              </w:rPr>
              <w:t>询价响应文件格式》“报价分项表”中完整填报所投报的各品目产品的品牌、具体型号、生产产地，否则重大偏离，视为未实质性响应询价通知书要求，投标无效。所投产品无具体型号的，在“备注”栏中说明“无具体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noWrap/>
            <w:vAlign w:val="center"/>
          </w:tcPr>
          <w:p>
            <w:pPr>
              <w:spacing w:line="360" w:lineRule="auto"/>
              <w:rPr>
                <w:rFonts w:ascii="宋体"/>
                <w:sz w:val="24"/>
              </w:rPr>
            </w:pPr>
            <w:r>
              <w:rPr>
                <w:rFonts w:ascii="宋体" w:hAnsi="宋体"/>
                <w:sz w:val="24"/>
              </w:rPr>
              <w:t>12</w:t>
            </w:r>
          </w:p>
        </w:tc>
        <w:tc>
          <w:tcPr>
            <w:tcW w:w="945" w:type="dxa"/>
            <w:noWrap/>
            <w:vAlign w:val="center"/>
          </w:tcPr>
          <w:p>
            <w:pPr>
              <w:spacing w:line="360" w:lineRule="auto"/>
              <w:rPr>
                <w:rFonts w:ascii="宋体"/>
                <w:sz w:val="24"/>
              </w:rPr>
            </w:pPr>
            <w:r>
              <w:rPr>
                <w:rFonts w:ascii="宋体" w:hAnsi="宋体"/>
                <w:sz w:val="24"/>
              </w:rPr>
              <w:t>24.2</w:t>
            </w:r>
          </w:p>
        </w:tc>
        <w:tc>
          <w:tcPr>
            <w:tcW w:w="7083" w:type="dxa"/>
            <w:noWrap/>
            <w:vAlign w:val="center"/>
          </w:tcPr>
          <w:p>
            <w:pPr>
              <w:spacing w:line="360" w:lineRule="auto"/>
              <w:rPr>
                <w:rFonts w:ascii="宋体"/>
                <w:sz w:val="24"/>
              </w:rPr>
            </w:pPr>
            <w:r>
              <w:rPr>
                <w:rFonts w:hint="eastAsia" w:ascii="宋体" w:hAnsi="宋体"/>
                <w:sz w:val="24"/>
              </w:rPr>
              <w:t>对询价通知书的质疑时间：递交响应文件截止前</w:t>
            </w:r>
            <w:r>
              <w:rPr>
                <w:rFonts w:ascii="宋体" w:hAnsi="宋体"/>
                <w:sz w:val="24"/>
              </w:rPr>
              <w:t>2</w:t>
            </w:r>
            <w:r>
              <w:rPr>
                <w:rFonts w:hint="eastAsia" w:ascii="宋体" w:hAnsi="宋体"/>
                <w:sz w:val="24"/>
              </w:rPr>
              <w:t>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noWrap/>
            <w:vAlign w:val="center"/>
          </w:tcPr>
          <w:p>
            <w:pPr>
              <w:spacing w:line="360" w:lineRule="auto"/>
              <w:rPr>
                <w:rFonts w:ascii="宋体"/>
                <w:sz w:val="24"/>
              </w:rPr>
            </w:pPr>
            <w:r>
              <w:rPr>
                <w:rFonts w:ascii="宋体" w:hAnsi="宋体"/>
                <w:sz w:val="24"/>
              </w:rPr>
              <w:t>13</w:t>
            </w:r>
          </w:p>
        </w:tc>
        <w:tc>
          <w:tcPr>
            <w:tcW w:w="945" w:type="dxa"/>
            <w:noWrap/>
            <w:vAlign w:val="center"/>
          </w:tcPr>
          <w:p>
            <w:pPr>
              <w:spacing w:line="360" w:lineRule="auto"/>
              <w:rPr>
                <w:rFonts w:ascii="宋体"/>
                <w:sz w:val="24"/>
              </w:rPr>
            </w:pPr>
          </w:p>
        </w:tc>
        <w:tc>
          <w:tcPr>
            <w:tcW w:w="7083" w:type="dxa"/>
            <w:noWrap/>
            <w:vAlign w:val="center"/>
          </w:tcPr>
          <w:p>
            <w:pPr>
              <w:spacing w:line="360" w:lineRule="auto"/>
              <w:rPr>
                <w:rFonts w:hint="eastAsia" w:ascii="宋体" w:eastAsia="宋体"/>
                <w:sz w:val="24"/>
                <w:lang w:eastAsia="zh-CN"/>
              </w:rPr>
            </w:pPr>
            <w:r>
              <w:rPr>
                <w:rFonts w:hint="eastAsia" w:ascii="宋体" w:hAnsi="宋体"/>
                <w:sz w:val="24"/>
              </w:rPr>
              <w:t>履约保证金：</w:t>
            </w:r>
            <w:r>
              <w:rPr>
                <w:rFonts w:hint="eastAsia" w:ascii="宋体" w:hAnsi="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noWrap/>
            <w:vAlign w:val="center"/>
          </w:tcPr>
          <w:p>
            <w:pPr>
              <w:spacing w:line="360" w:lineRule="auto"/>
              <w:rPr>
                <w:rFonts w:ascii="宋体"/>
                <w:sz w:val="24"/>
              </w:rPr>
            </w:pPr>
            <w:r>
              <w:rPr>
                <w:rFonts w:ascii="宋体" w:hAnsi="宋体"/>
                <w:sz w:val="24"/>
              </w:rPr>
              <w:t>14</w:t>
            </w:r>
          </w:p>
        </w:tc>
        <w:tc>
          <w:tcPr>
            <w:tcW w:w="945" w:type="dxa"/>
            <w:noWrap/>
            <w:vAlign w:val="center"/>
          </w:tcPr>
          <w:p>
            <w:pPr>
              <w:spacing w:line="360" w:lineRule="auto"/>
              <w:rPr>
                <w:rFonts w:ascii="宋体"/>
                <w:color w:val="auto"/>
                <w:sz w:val="24"/>
              </w:rPr>
            </w:pPr>
          </w:p>
        </w:tc>
        <w:tc>
          <w:tcPr>
            <w:tcW w:w="7083" w:type="dxa"/>
            <w:noWrap/>
            <w:vAlign w:val="center"/>
          </w:tcPr>
          <w:p>
            <w:pPr>
              <w:spacing w:line="360" w:lineRule="auto"/>
              <w:rPr>
                <w:rFonts w:ascii="宋体"/>
                <w:color w:val="auto"/>
                <w:sz w:val="24"/>
              </w:rPr>
            </w:pPr>
            <w:r>
              <w:rPr>
                <w:rFonts w:hint="eastAsia" w:ascii="宋体" w:hAnsi="宋体"/>
                <w:color w:val="auto"/>
                <w:sz w:val="24"/>
              </w:rPr>
              <w:t>本项目是否接受联合体：否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noWrap/>
            <w:vAlign w:val="center"/>
          </w:tcPr>
          <w:p>
            <w:pPr>
              <w:spacing w:line="360" w:lineRule="auto"/>
              <w:rPr>
                <w:rFonts w:hint="default" w:ascii="宋体" w:hAnsi="宋体"/>
                <w:color w:val="auto"/>
                <w:sz w:val="24"/>
                <w:lang w:val="en-US" w:eastAsia="zh-CN"/>
              </w:rPr>
            </w:pPr>
            <w:bookmarkStart w:id="17" w:name="_Toc1428"/>
            <w:bookmarkStart w:id="18" w:name="_Toc11297"/>
            <w:r>
              <w:rPr>
                <w:rFonts w:hint="eastAsia" w:ascii="宋体" w:hAnsi="宋体"/>
                <w:color w:val="auto"/>
                <w:sz w:val="24"/>
                <w:lang w:val="en-US" w:eastAsia="zh-CN"/>
              </w:rPr>
              <w:t>15</w:t>
            </w:r>
          </w:p>
        </w:tc>
        <w:tc>
          <w:tcPr>
            <w:tcW w:w="945" w:type="dxa"/>
            <w:noWrap/>
            <w:vAlign w:val="center"/>
          </w:tcPr>
          <w:p>
            <w:pPr>
              <w:spacing w:line="360" w:lineRule="auto"/>
              <w:rPr>
                <w:rFonts w:ascii="宋体"/>
                <w:color w:val="auto"/>
                <w:sz w:val="24"/>
              </w:rPr>
            </w:pPr>
          </w:p>
        </w:tc>
        <w:tc>
          <w:tcPr>
            <w:tcW w:w="7083" w:type="dxa"/>
            <w:noWrap/>
            <w:vAlign w:val="center"/>
          </w:tcPr>
          <w:p>
            <w:pPr>
              <w:spacing w:line="360" w:lineRule="auto"/>
              <w:rPr>
                <w:rFonts w:hint="eastAsia"/>
                <w:b/>
                <w:bCs/>
                <w:color w:val="auto"/>
                <w:sz w:val="24"/>
                <w:lang w:val="en-US" w:eastAsia="zh-CN"/>
              </w:rPr>
            </w:pPr>
            <w:r>
              <w:rPr>
                <w:rFonts w:hint="eastAsia" w:ascii="宋体"/>
                <w:color w:val="auto"/>
                <w:sz w:val="24"/>
                <w:szCs w:val="24"/>
                <w:highlight w:val="white"/>
                <w:lang w:val="en-US" w:eastAsia="zh-CN"/>
              </w:rPr>
              <w:t>成交供应商</w:t>
            </w:r>
            <w:r>
              <w:rPr>
                <w:rFonts w:hint="eastAsia" w:ascii="宋体"/>
                <w:color w:val="auto"/>
                <w:sz w:val="24"/>
                <w:szCs w:val="24"/>
                <w:highlight w:val="white"/>
              </w:rPr>
              <w:t>在收到</w:t>
            </w:r>
            <w:r>
              <w:rPr>
                <w:rFonts w:hint="eastAsia" w:ascii="宋体"/>
                <w:color w:val="auto"/>
                <w:sz w:val="24"/>
                <w:szCs w:val="24"/>
                <w:highlight w:val="white"/>
                <w:lang w:val="en-US" w:eastAsia="zh-CN"/>
              </w:rPr>
              <w:t>成交</w:t>
            </w:r>
            <w:r>
              <w:rPr>
                <w:rFonts w:hint="eastAsia" w:ascii="宋体"/>
                <w:color w:val="auto"/>
                <w:sz w:val="24"/>
                <w:szCs w:val="24"/>
                <w:highlight w:val="white"/>
              </w:rPr>
              <w:t>通知书后</w:t>
            </w:r>
            <w:r>
              <w:rPr>
                <w:rFonts w:hint="eastAsia" w:ascii="宋体"/>
                <w:color w:val="auto"/>
                <w:sz w:val="24"/>
                <w:szCs w:val="24"/>
                <w:highlight w:val="white"/>
                <w:lang w:val="en-US" w:eastAsia="zh-CN"/>
              </w:rPr>
              <w:t>3</w:t>
            </w:r>
            <w:r>
              <w:rPr>
                <w:rFonts w:hint="eastAsia" w:ascii="宋体"/>
                <w:color w:val="auto"/>
                <w:sz w:val="24"/>
                <w:szCs w:val="24"/>
                <w:highlight w:val="white"/>
              </w:rPr>
              <w:t>天内，应派代表与</w:t>
            </w:r>
            <w:r>
              <w:rPr>
                <w:rFonts w:hint="eastAsia" w:ascii="宋体"/>
                <w:color w:val="auto"/>
                <w:sz w:val="24"/>
                <w:szCs w:val="24"/>
                <w:highlight w:val="white"/>
                <w:lang w:val="en-US" w:eastAsia="zh-CN"/>
              </w:rPr>
              <w:t>采购</w:t>
            </w:r>
            <w:r>
              <w:rPr>
                <w:rFonts w:hint="eastAsia" w:ascii="宋体"/>
                <w:color w:val="auto"/>
                <w:sz w:val="24"/>
                <w:szCs w:val="24"/>
                <w:highlight w:val="white"/>
              </w:rPr>
              <w:t>人联系，商讨签订合同事宜。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780" w:type="dxa"/>
            <w:noWrap/>
            <w:vAlign w:val="center"/>
          </w:tcPr>
          <w:p>
            <w:pPr>
              <w:spacing w:line="360" w:lineRule="auto"/>
              <w:rPr>
                <w:rFonts w:hint="default" w:ascii="宋体" w:hAnsi="宋体" w:eastAsia="宋体"/>
                <w:sz w:val="24"/>
                <w:lang w:val="en-US" w:eastAsia="zh-CN"/>
              </w:rPr>
            </w:pPr>
            <w:r>
              <w:rPr>
                <w:rFonts w:hint="eastAsia" w:ascii="宋体" w:hAnsi="宋体"/>
                <w:sz w:val="24"/>
                <w:lang w:val="en-US" w:eastAsia="zh-CN"/>
              </w:rPr>
              <w:t>15</w:t>
            </w:r>
          </w:p>
        </w:tc>
        <w:tc>
          <w:tcPr>
            <w:tcW w:w="945" w:type="dxa"/>
            <w:noWrap/>
            <w:vAlign w:val="center"/>
          </w:tcPr>
          <w:p>
            <w:pPr>
              <w:spacing w:line="360" w:lineRule="auto"/>
              <w:rPr>
                <w:rFonts w:ascii="宋体"/>
                <w:color w:val="auto"/>
                <w:sz w:val="24"/>
              </w:rPr>
            </w:pPr>
          </w:p>
        </w:tc>
        <w:tc>
          <w:tcPr>
            <w:tcW w:w="7083" w:type="dxa"/>
            <w:noWrap/>
            <w:vAlign w:val="center"/>
          </w:tcPr>
          <w:p>
            <w:pPr>
              <w:adjustRightInd w:val="0"/>
              <w:spacing w:line="360" w:lineRule="exact"/>
              <w:ind w:firstLine="241" w:firstLineChars="100"/>
              <w:rPr>
                <w:rFonts w:hint="eastAsia"/>
                <w:b/>
                <w:bCs/>
                <w:color w:val="auto"/>
                <w:sz w:val="24"/>
                <w:lang w:val="en-US" w:eastAsia="zh-CN"/>
              </w:rPr>
            </w:pPr>
            <w:r>
              <w:rPr>
                <w:rFonts w:hint="eastAsia"/>
                <w:b/>
                <w:bCs/>
                <w:color w:val="auto"/>
                <w:sz w:val="24"/>
                <w:lang w:val="en-US" w:eastAsia="zh-CN"/>
              </w:rPr>
              <w:t>交易场所服务费：</w:t>
            </w:r>
          </w:p>
          <w:p>
            <w:pPr>
              <w:adjustRightInd w:val="0"/>
              <w:spacing w:line="360" w:lineRule="exact"/>
              <w:ind w:firstLine="241" w:firstLineChars="100"/>
              <w:rPr>
                <w:rFonts w:hint="default"/>
                <w:b/>
                <w:bCs/>
                <w:color w:val="auto"/>
                <w:sz w:val="24"/>
                <w:lang w:val="en-US" w:eastAsia="zh-CN"/>
              </w:rPr>
            </w:pPr>
            <w:r>
              <w:rPr>
                <w:rFonts w:hint="eastAsia"/>
                <w:b/>
                <w:bCs/>
                <w:color w:val="auto"/>
                <w:sz w:val="24"/>
                <w:lang w:val="en-US" w:eastAsia="zh-CN"/>
              </w:rPr>
              <w:t>（1）</w:t>
            </w:r>
            <w:r>
              <w:rPr>
                <w:rFonts w:hint="eastAsia"/>
                <w:b/>
                <w:bCs/>
                <w:color w:val="auto"/>
                <w:sz w:val="24"/>
              </w:rPr>
              <w:t>本项目</w:t>
            </w:r>
            <w:r>
              <w:rPr>
                <w:rFonts w:hint="eastAsia"/>
                <w:b/>
                <w:bCs/>
                <w:color w:val="auto"/>
                <w:sz w:val="24"/>
                <w:lang w:val="en-US" w:eastAsia="zh-CN"/>
              </w:rPr>
              <w:t>交易场所服务费</w:t>
            </w:r>
            <w:r>
              <w:rPr>
                <w:rFonts w:hint="eastAsia"/>
                <w:b/>
                <w:bCs/>
                <w:color w:val="auto"/>
                <w:sz w:val="24"/>
              </w:rPr>
              <w:t>收取标准及收取方式：</w:t>
            </w:r>
            <w:r>
              <w:rPr>
                <w:rFonts w:hint="eastAsia"/>
                <w:b/>
                <w:bCs/>
                <w:color w:val="auto"/>
                <w:sz w:val="24"/>
                <w:lang w:val="en-US" w:eastAsia="zh-CN"/>
              </w:rPr>
              <w:t>由成交供应商按收费标准支付，在领取成交通知书前以银行转账方式向 福建随行软件有限公司一次性缴清上述费用，</w:t>
            </w:r>
            <w:r>
              <w:rPr>
                <w:rFonts w:hint="eastAsia"/>
                <w:b/>
                <w:bCs/>
                <w:color w:val="auto"/>
                <w:sz w:val="24"/>
              </w:rPr>
              <w:t>收到款项后</w:t>
            </w:r>
            <w:r>
              <w:rPr>
                <w:rFonts w:hint="eastAsia"/>
                <w:b/>
                <w:bCs/>
                <w:color w:val="auto"/>
                <w:sz w:val="24"/>
                <w:lang w:val="en-US" w:eastAsia="zh-CN"/>
              </w:rPr>
              <w:t> 福建随行软件有限公司</w:t>
            </w:r>
            <w:r>
              <w:rPr>
                <w:rFonts w:hint="eastAsia"/>
                <w:b/>
                <w:bCs/>
                <w:color w:val="auto"/>
                <w:sz w:val="24"/>
              </w:rPr>
              <w:t>开具正式发票。</w:t>
            </w:r>
            <w:r>
              <w:rPr>
                <w:rFonts w:hint="eastAsia"/>
                <w:b/>
                <w:bCs/>
                <w:color w:val="000000" w:themeColor="text1"/>
                <w:sz w:val="24"/>
                <w:lang w:val="en-US" w:eastAsia="zh-CN"/>
                <w14:textFill>
                  <w14:solidFill>
                    <w14:schemeClr w14:val="tx1"/>
                  </w14:solidFill>
                </w14:textFill>
              </w:rPr>
              <w:t>联系电话：宋女士 18605972325</w:t>
            </w:r>
          </w:p>
          <w:p>
            <w:pPr>
              <w:pStyle w:val="4"/>
              <w:numPr>
                <w:ilvl w:val="0"/>
                <w:numId w:val="0"/>
              </w:numPr>
              <w:jc w:val="both"/>
              <w:rPr>
                <w:rFonts w:hint="default"/>
                <w:color w:val="auto"/>
                <w:lang w:val="en-US" w:eastAsia="zh-CN"/>
              </w:rPr>
            </w:pPr>
            <w:bookmarkStart w:id="19" w:name="_Toc23978"/>
            <w:bookmarkStart w:id="20" w:name="_Toc2025"/>
            <w:r>
              <w:rPr>
                <w:rFonts w:hint="default"/>
                <w:color w:val="auto"/>
                <w:lang w:val="en-US" w:eastAsia="zh-CN"/>
              </w:rPr>
              <w:drawing>
                <wp:inline distT="0" distB="0" distL="114300" distR="114300">
                  <wp:extent cx="4152900" cy="1400175"/>
                  <wp:effectExtent l="0" t="0" r="0" b="9525"/>
                  <wp:docPr id="1" name="图片 1" descr="3dfe1fd293c73905a58d2936959b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fe1fd293c73905a58d2936959bd92"/>
                          <pic:cNvPicPr>
                            <a:picLocks noChangeAspect="1"/>
                          </pic:cNvPicPr>
                        </pic:nvPicPr>
                        <pic:blipFill>
                          <a:blip r:embed="rId12"/>
                          <a:stretch>
                            <a:fillRect/>
                          </a:stretch>
                        </pic:blipFill>
                        <pic:spPr>
                          <a:xfrm>
                            <a:off x="0" y="0"/>
                            <a:ext cx="4152900" cy="1400175"/>
                          </a:xfrm>
                          <a:prstGeom prst="rect">
                            <a:avLst/>
                          </a:prstGeom>
                          <a:noFill/>
                          <a:ln>
                            <a:noFill/>
                          </a:ln>
                        </pic:spPr>
                      </pic:pic>
                    </a:graphicData>
                  </a:graphic>
                </wp:inline>
              </w:drawing>
            </w:r>
            <w:bookmarkEnd w:id="19"/>
            <w:bookmarkEnd w:id="20"/>
          </w:p>
          <w:p>
            <w:pPr>
              <w:rPr>
                <w:rFonts w:hint="eastAsia"/>
                <w:b/>
                <w:bCs/>
                <w:color w:val="auto"/>
                <w:sz w:val="24"/>
                <w:lang w:val="en-US" w:eastAsia="zh-CN"/>
              </w:rPr>
            </w:pPr>
            <w:r>
              <w:rPr>
                <w:rFonts w:hint="eastAsia"/>
                <w:b/>
                <w:bCs/>
                <w:color w:val="auto"/>
                <w:sz w:val="24"/>
                <w:lang w:val="en-US" w:eastAsia="zh-CN"/>
              </w:rPr>
              <w:t>（2）交易场所服务费</w:t>
            </w:r>
            <w:r>
              <w:rPr>
                <w:rFonts w:hint="eastAsia" w:ascii="宋体" w:hAnsi="宋体"/>
                <w:b/>
                <w:bCs/>
                <w:color w:val="auto"/>
                <w:sz w:val="24"/>
              </w:rPr>
              <w:t>缴交账户如下：</w:t>
            </w:r>
          </w:p>
          <w:p>
            <w:pPr>
              <w:rPr>
                <w:rFonts w:hint="eastAsia"/>
                <w:b/>
                <w:bCs/>
                <w:color w:val="auto"/>
                <w:sz w:val="24"/>
                <w:lang w:val="en-US" w:eastAsia="zh-CN"/>
              </w:rPr>
            </w:pPr>
            <w:r>
              <w:rPr>
                <w:rFonts w:hint="eastAsia"/>
                <w:b/>
                <w:bCs/>
                <w:color w:val="auto"/>
                <w:sz w:val="24"/>
                <w:lang w:val="en-US" w:eastAsia="zh-CN"/>
              </w:rPr>
              <w:t>开户银行： 中国光大银行股份有限公司福州杨桥支行</w:t>
            </w:r>
          </w:p>
          <w:p>
            <w:pPr>
              <w:rPr>
                <w:rFonts w:hint="eastAsia"/>
                <w:b/>
                <w:bCs/>
                <w:color w:val="auto"/>
                <w:sz w:val="24"/>
                <w:lang w:val="en-US" w:eastAsia="zh-CN"/>
              </w:rPr>
            </w:pPr>
            <w:r>
              <w:rPr>
                <w:rFonts w:hint="eastAsia"/>
                <w:b/>
                <w:bCs/>
                <w:color w:val="auto"/>
                <w:sz w:val="24"/>
                <w:lang w:val="en-US" w:eastAsia="zh-CN"/>
              </w:rPr>
              <w:t>帐户名称： 福建随行软件有限公司</w:t>
            </w:r>
          </w:p>
          <w:p>
            <w:pPr>
              <w:spacing w:line="360" w:lineRule="auto"/>
              <w:rPr>
                <w:rFonts w:hint="eastAsia" w:ascii="宋体" w:hAnsi="宋体"/>
                <w:color w:val="auto"/>
                <w:sz w:val="24"/>
              </w:rPr>
            </w:pPr>
            <w:r>
              <w:rPr>
                <w:rFonts w:hint="eastAsia"/>
                <w:b/>
                <w:bCs/>
                <w:color w:val="auto"/>
                <w:sz w:val="24"/>
                <w:lang w:val="en-US" w:eastAsia="zh-CN"/>
              </w:rPr>
              <w:t>帐 号：    77390188000068988</w:t>
            </w:r>
          </w:p>
        </w:tc>
      </w:tr>
    </w:tbl>
    <w:p>
      <w:pPr>
        <w:pStyle w:val="5"/>
        <w:numPr>
          <w:ilvl w:val="0"/>
          <w:numId w:val="0"/>
        </w:numPr>
      </w:pPr>
      <w:bookmarkStart w:id="21" w:name="_Toc20053"/>
      <w:bookmarkStart w:id="22" w:name="_Toc30343"/>
      <w:r>
        <w:rPr>
          <w:rFonts w:hint="eastAsia"/>
        </w:rPr>
        <w:t>一、说明</w:t>
      </w:r>
      <w:bookmarkEnd w:id="17"/>
      <w:bookmarkEnd w:id="18"/>
      <w:bookmarkEnd w:id="21"/>
      <w:bookmarkEnd w:id="22"/>
    </w:p>
    <w:p>
      <w:pPr>
        <w:spacing w:line="360" w:lineRule="auto"/>
        <w:ind w:firstLine="480" w:firstLineChars="200"/>
        <w:outlineLvl w:val="2"/>
        <w:rPr>
          <w:rFonts w:ascii="宋体"/>
          <w:sz w:val="24"/>
        </w:rPr>
      </w:pPr>
      <w:r>
        <w:rPr>
          <w:rFonts w:ascii="宋体" w:hAnsi="宋体"/>
          <w:sz w:val="24"/>
        </w:rPr>
        <w:t xml:space="preserve">1. </w:t>
      </w:r>
      <w:r>
        <w:rPr>
          <w:rFonts w:hint="eastAsia" w:ascii="宋体" w:hAnsi="宋体"/>
          <w:sz w:val="24"/>
        </w:rPr>
        <w:t>适用范围</w:t>
      </w:r>
    </w:p>
    <w:p>
      <w:pPr>
        <w:spacing w:line="360" w:lineRule="auto"/>
        <w:ind w:firstLine="480" w:firstLineChars="200"/>
        <w:rPr>
          <w:rFonts w:ascii="宋体"/>
          <w:sz w:val="24"/>
        </w:rPr>
      </w:pPr>
      <w:r>
        <w:rPr>
          <w:rFonts w:ascii="宋体" w:hAnsi="宋体"/>
          <w:sz w:val="24"/>
        </w:rPr>
        <w:t>1.1</w:t>
      </w:r>
      <w:r>
        <w:rPr>
          <w:rFonts w:hint="eastAsia" w:ascii="宋体" w:hAnsi="宋体"/>
          <w:sz w:val="24"/>
        </w:rPr>
        <w:t>本询价通知书仅适用于询价邀请中所叙述项目的货物及服务采购。</w:t>
      </w:r>
    </w:p>
    <w:p>
      <w:pPr>
        <w:spacing w:line="360" w:lineRule="auto"/>
        <w:ind w:firstLine="480" w:firstLineChars="200"/>
        <w:outlineLvl w:val="2"/>
        <w:rPr>
          <w:rFonts w:ascii="宋体"/>
          <w:sz w:val="24"/>
        </w:rPr>
      </w:pPr>
      <w:r>
        <w:rPr>
          <w:rFonts w:ascii="宋体" w:hAnsi="宋体"/>
          <w:sz w:val="24"/>
        </w:rPr>
        <w:t xml:space="preserve">2. </w:t>
      </w:r>
      <w:r>
        <w:rPr>
          <w:rFonts w:hint="eastAsia" w:ascii="宋体" w:hAnsi="宋体"/>
          <w:sz w:val="24"/>
        </w:rPr>
        <w:t>定义</w:t>
      </w:r>
    </w:p>
    <w:p>
      <w:pPr>
        <w:spacing w:line="360" w:lineRule="auto"/>
        <w:ind w:firstLine="480" w:firstLineChars="200"/>
        <w:rPr>
          <w:rFonts w:ascii="宋体"/>
          <w:sz w:val="24"/>
        </w:rPr>
      </w:pPr>
      <w:r>
        <w:rPr>
          <w:rFonts w:ascii="宋体" w:hAnsi="宋体"/>
          <w:sz w:val="24"/>
        </w:rPr>
        <w:t xml:space="preserve">2.1 </w:t>
      </w:r>
      <w:r>
        <w:rPr>
          <w:rFonts w:hint="eastAsia" w:ascii="宋体" w:hAnsi="宋体"/>
          <w:sz w:val="24"/>
        </w:rPr>
        <w:t>“采购人”系指本次采购项目的业主方。</w:t>
      </w:r>
    </w:p>
    <w:p>
      <w:pPr>
        <w:spacing w:line="360" w:lineRule="auto"/>
        <w:ind w:firstLine="480" w:firstLineChars="200"/>
        <w:rPr>
          <w:rFonts w:ascii="宋体"/>
          <w:sz w:val="24"/>
        </w:rPr>
      </w:pPr>
      <w:r>
        <w:rPr>
          <w:rFonts w:ascii="宋体" w:hAnsi="宋体"/>
          <w:sz w:val="24"/>
        </w:rPr>
        <w:t xml:space="preserve">2.2 </w:t>
      </w:r>
      <w:r>
        <w:rPr>
          <w:rFonts w:hint="eastAsia" w:ascii="宋体" w:hAnsi="宋体"/>
          <w:sz w:val="24"/>
        </w:rPr>
        <w:t>“采购代理机构”系指组织本次询价采购的</w:t>
      </w:r>
      <w:r>
        <w:rPr>
          <w:rFonts w:hint="eastAsia" w:ascii="宋体" w:hAnsi="宋体"/>
          <w:sz w:val="24"/>
          <w:lang w:eastAsia="zh-CN"/>
        </w:rPr>
        <w:t>龙岩城发工程造价咨询服务有限公司</w:t>
      </w:r>
      <w:r>
        <w:rPr>
          <w:rFonts w:hint="eastAsia" w:ascii="宋体" w:hAnsi="宋体"/>
          <w:sz w:val="24"/>
        </w:rPr>
        <w:t>。</w:t>
      </w:r>
    </w:p>
    <w:p>
      <w:pPr>
        <w:spacing w:line="360" w:lineRule="auto"/>
        <w:ind w:firstLine="480" w:firstLineChars="200"/>
        <w:rPr>
          <w:rFonts w:ascii="宋体"/>
          <w:sz w:val="24"/>
        </w:rPr>
      </w:pPr>
      <w:r>
        <w:rPr>
          <w:rFonts w:ascii="宋体" w:hAnsi="宋体"/>
          <w:sz w:val="24"/>
        </w:rPr>
        <w:t>2</w:t>
      </w:r>
      <w:r>
        <w:rPr>
          <w:rFonts w:ascii="宋体"/>
          <w:sz w:val="24"/>
        </w:rPr>
        <w:t>.</w:t>
      </w:r>
      <w:r>
        <w:rPr>
          <w:rFonts w:ascii="宋体" w:hAnsi="宋体"/>
          <w:sz w:val="24"/>
        </w:rPr>
        <w:t>3</w:t>
      </w:r>
      <w:r>
        <w:rPr>
          <w:rFonts w:hint="eastAsia" w:ascii="宋体" w:hAnsi="宋体"/>
          <w:sz w:val="24"/>
        </w:rPr>
        <w:t>“询价供应商”系指购买了本询价通知书，且已经提交或者准备提交本次询价响应文件的供应商。</w:t>
      </w:r>
    </w:p>
    <w:p>
      <w:pPr>
        <w:spacing w:line="360" w:lineRule="auto"/>
        <w:ind w:firstLine="480" w:firstLineChars="200"/>
        <w:rPr>
          <w:rFonts w:ascii="宋体"/>
          <w:sz w:val="24"/>
        </w:rPr>
      </w:pPr>
      <w:r>
        <w:rPr>
          <w:rFonts w:ascii="宋体" w:hAnsi="宋体"/>
          <w:sz w:val="24"/>
        </w:rPr>
        <w:t xml:space="preserve">2.4 </w:t>
      </w:r>
      <w:r>
        <w:rPr>
          <w:rFonts w:hint="eastAsia" w:ascii="宋体" w:hAnsi="宋体"/>
          <w:sz w:val="24"/>
        </w:rPr>
        <w:t>“货物”系指卖方按询价通知书规定向买方提供的一切设备、机械、仪器仪表、备品备件、工具、手册及其它有关技术资料和材料。</w:t>
      </w:r>
    </w:p>
    <w:p>
      <w:pPr>
        <w:spacing w:line="360" w:lineRule="auto"/>
        <w:ind w:firstLine="480" w:firstLineChars="200"/>
        <w:rPr>
          <w:rFonts w:ascii="宋体"/>
          <w:sz w:val="24"/>
        </w:rPr>
      </w:pPr>
      <w:r>
        <w:rPr>
          <w:rFonts w:ascii="宋体" w:hAnsi="宋体"/>
          <w:sz w:val="24"/>
        </w:rPr>
        <w:t xml:space="preserve">2.5 </w:t>
      </w:r>
      <w:r>
        <w:rPr>
          <w:rFonts w:hint="eastAsia" w:ascii="宋体" w:hAnsi="宋体"/>
          <w:sz w:val="24"/>
        </w:rPr>
        <w:t>“服务”系指询价通知书规定卖方须承担的安装、调试、技术协助、校准、培训以及其他类似的义务。</w:t>
      </w:r>
    </w:p>
    <w:p>
      <w:pPr>
        <w:spacing w:line="360" w:lineRule="auto"/>
        <w:ind w:firstLine="480" w:firstLineChars="200"/>
        <w:outlineLvl w:val="2"/>
        <w:rPr>
          <w:rFonts w:ascii="宋体"/>
          <w:sz w:val="24"/>
        </w:rPr>
      </w:pPr>
      <w:r>
        <w:rPr>
          <w:rFonts w:ascii="宋体" w:hAnsi="宋体"/>
          <w:sz w:val="24"/>
        </w:rPr>
        <w:t xml:space="preserve">3. </w:t>
      </w:r>
      <w:r>
        <w:rPr>
          <w:rFonts w:hint="eastAsia" w:ascii="宋体" w:hAnsi="宋体"/>
          <w:sz w:val="24"/>
        </w:rPr>
        <w:t>合格的询价供应商</w:t>
      </w:r>
    </w:p>
    <w:p>
      <w:pPr>
        <w:spacing w:line="360" w:lineRule="auto"/>
        <w:ind w:firstLine="480" w:firstLineChars="200"/>
        <w:rPr>
          <w:rFonts w:ascii="宋体"/>
          <w:sz w:val="24"/>
        </w:rPr>
      </w:pPr>
      <w:r>
        <w:rPr>
          <w:rFonts w:ascii="宋体" w:hAnsi="宋体"/>
          <w:sz w:val="24"/>
        </w:rPr>
        <w:t>3.1</w:t>
      </w:r>
      <w:r>
        <w:rPr>
          <w:rFonts w:hint="eastAsia" w:ascii="宋体" w:hAnsi="宋体"/>
          <w:sz w:val="24"/>
        </w:rPr>
        <w:t>凡有能力提供本询价通知书所述货物及服务的，具有</w:t>
      </w:r>
      <w:r>
        <w:rPr>
          <w:rFonts w:hint="eastAsia" w:ascii="宋体" w:hAnsi="宋体"/>
          <w:sz w:val="24"/>
          <w:lang w:eastAsia="zh-CN"/>
        </w:rPr>
        <w:t>法人资格的境内供应商或其分支机构</w:t>
      </w:r>
      <w:r>
        <w:rPr>
          <w:rFonts w:hint="eastAsia" w:ascii="宋体" w:hAnsi="宋体"/>
          <w:sz w:val="24"/>
        </w:rPr>
        <w:t>均可能成为合格的询价供应商。</w:t>
      </w:r>
    </w:p>
    <w:p>
      <w:pPr>
        <w:spacing w:line="360" w:lineRule="auto"/>
        <w:ind w:firstLine="480" w:firstLineChars="200"/>
        <w:rPr>
          <w:rFonts w:ascii="宋体"/>
          <w:sz w:val="24"/>
        </w:rPr>
      </w:pPr>
      <w:r>
        <w:rPr>
          <w:rFonts w:ascii="宋体" w:hAnsi="宋体"/>
          <w:sz w:val="24"/>
        </w:rPr>
        <w:t xml:space="preserve">3.2 </w:t>
      </w:r>
      <w:r>
        <w:rPr>
          <w:rFonts w:hint="eastAsia" w:ascii="宋体" w:hAnsi="宋体"/>
          <w:sz w:val="24"/>
        </w:rPr>
        <w:t>询价供应商应遵守中国的有关法律、法规和规章的规定。</w:t>
      </w:r>
    </w:p>
    <w:p>
      <w:pPr>
        <w:spacing w:line="360" w:lineRule="auto"/>
        <w:ind w:firstLine="480" w:firstLineChars="200"/>
        <w:rPr>
          <w:rFonts w:ascii="宋体"/>
          <w:sz w:val="24"/>
        </w:rPr>
      </w:pPr>
      <w:r>
        <w:rPr>
          <w:rFonts w:ascii="宋体" w:hAnsi="宋体"/>
          <w:sz w:val="24"/>
        </w:rPr>
        <w:t>3.3</w:t>
      </w:r>
      <w:r>
        <w:rPr>
          <w:rFonts w:hint="eastAsia" w:ascii="宋体" w:hAnsi="宋体"/>
          <w:sz w:val="24"/>
        </w:rPr>
        <w:t>询价供应商之间存在下列互为关联关系的情形之一的，不得同时参加本项目询价：</w:t>
      </w:r>
    </w:p>
    <w:p>
      <w:pPr>
        <w:spacing w:line="360" w:lineRule="auto"/>
        <w:ind w:firstLine="480" w:firstLineChars="200"/>
        <w:rPr>
          <w:rFonts w:ascii="宋体"/>
          <w:sz w:val="24"/>
        </w:rPr>
      </w:pPr>
      <w:r>
        <w:rPr>
          <w:rFonts w:ascii="宋体" w:hAnsi="宋体"/>
          <w:sz w:val="24"/>
        </w:rPr>
        <w:t xml:space="preserve">(1) </w:t>
      </w:r>
      <w:r>
        <w:rPr>
          <w:rFonts w:hint="eastAsia" w:ascii="宋体" w:hAnsi="宋体"/>
          <w:sz w:val="24"/>
        </w:rPr>
        <w:t>法定代表人为同一人的两个及两个以上法人；</w:t>
      </w:r>
    </w:p>
    <w:p>
      <w:pPr>
        <w:spacing w:line="360" w:lineRule="auto"/>
        <w:ind w:firstLine="480" w:firstLineChars="200"/>
        <w:rPr>
          <w:rFonts w:ascii="宋体"/>
          <w:sz w:val="24"/>
        </w:rPr>
      </w:pPr>
      <w:r>
        <w:rPr>
          <w:rFonts w:ascii="宋体" w:hAnsi="宋体"/>
          <w:sz w:val="24"/>
        </w:rPr>
        <w:t xml:space="preserve">(2) </w:t>
      </w:r>
      <w:r>
        <w:rPr>
          <w:rFonts w:hint="eastAsia" w:ascii="宋体" w:hAnsi="宋体"/>
          <w:sz w:val="24"/>
        </w:rPr>
        <w:t>母公司、直接或间接持股</w:t>
      </w:r>
      <w:r>
        <w:rPr>
          <w:rFonts w:ascii="宋体" w:hAnsi="宋体"/>
          <w:sz w:val="24"/>
        </w:rPr>
        <w:t>50</w:t>
      </w:r>
      <w:r>
        <w:rPr>
          <w:rFonts w:hint="eastAsia" w:ascii="宋体" w:hAnsi="宋体"/>
          <w:sz w:val="24"/>
        </w:rPr>
        <w:t>％及以上的被投资公司</w:t>
      </w:r>
      <w:r>
        <w:rPr>
          <w:rFonts w:ascii="宋体" w:hAnsi="宋体"/>
          <w:sz w:val="24"/>
        </w:rPr>
        <w:t>;</w:t>
      </w:r>
    </w:p>
    <w:p>
      <w:pPr>
        <w:spacing w:line="360" w:lineRule="auto"/>
        <w:ind w:firstLine="480" w:firstLineChars="200"/>
        <w:rPr>
          <w:rFonts w:ascii="宋体"/>
          <w:sz w:val="24"/>
        </w:rPr>
      </w:pPr>
      <w:r>
        <w:rPr>
          <w:rFonts w:ascii="宋体" w:hAnsi="宋体"/>
          <w:sz w:val="24"/>
        </w:rPr>
        <w:t xml:space="preserve">(3) </w:t>
      </w:r>
      <w:r>
        <w:rPr>
          <w:rFonts w:hint="eastAsia" w:ascii="宋体" w:hAnsi="宋体"/>
          <w:sz w:val="24"/>
        </w:rPr>
        <w:t>均为同一家母公司直接或间接持股</w:t>
      </w:r>
      <w:r>
        <w:rPr>
          <w:rFonts w:ascii="宋体" w:hAnsi="宋体"/>
          <w:sz w:val="24"/>
        </w:rPr>
        <w:t>50</w:t>
      </w:r>
      <w:r>
        <w:rPr>
          <w:rFonts w:hint="eastAsia" w:ascii="宋体" w:hAnsi="宋体"/>
          <w:sz w:val="24"/>
        </w:rPr>
        <w:t>％及以上的被投资公司。</w:t>
      </w:r>
    </w:p>
    <w:p>
      <w:pPr>
        <w:spacing w:line="360" w:lineRule="auto"/>
        <w:ind w:firstLine="482" w:firstLineChars="200"/>
        <w:rPr>
          <w:rFonts w:ascii="宋体"/>
          <w:b/>
          <w:sz w:val="24"/>
        </w:rPr>
      </w:pPr>
      <w:r>
        <w:rPr>
          <w:rFonts w:hint="eastAsia" w:ascii="宋体" w:hAnsi="宋体"/>
          <w:b/>
          <w:sz w:val="24"/>
        </w:rPr>
        <w:t>询价供应商如具备上述情形之一的，互为关联关系的询价供应商的询价响应将均被视为无效响应。</w:t>
      </w:r>
    </w:p>
    <w:p>
      <w:pPr>
        <w:spacing w:line="360" w:lineRule="auto"/>
        <w:ind w:firstLine="480" w:firstLineChars="200"/>
        <w:rPr>
          <w:rFonts w:ascii="宋体"/>
          <w:sz w:val="24"/>
        </w:rPr>
      </w:pPr>
      <w:r>
        <w:rPr>
          <w:rFonts w:ascii="宋体" w:hAnsi="宋体"/>
          <w:sz w:val="24"/>
        </w:rPr>
        <w:t xml:space="preserve">3.4 </w:t>
      </w:r>
      <w:r>
        <w:rPr>
          <w:rFonts w:hint="eastAsia" w:ascii="宋体" w:hAnsi="宋体"/>
          <w:sz w:val="24"/>
        </w:rPr>
        <w:t>询价供应商不得与本次询价项下设计、编制技术规格和其它文件的公司或提供咨询服务的公司包括其附属机构有任何关联。</w:t>
      </w:r>
    </w:p>
    <w:p>
      <w:pPr>
        <w:spacing w:line="360" w:lineRule="auto"/>
        <w:ind w:firstLine="480" w:firstLineChars="200"/>
        <w:rPr>
          <w:rFonts w:ascii="宋体"/>
          <w:sz w:val="24"/>
          <w:szCs w:val="18"/>
        </w:rPr>
      </w:pPr>
      <w:r>
        <w:rPr>
          <w:rFonts w:ascii="宋体" w:hAnsi="宋体"/>
          <w:sz w:val="24"/>
        </w:rPr>
        <w:t>3.5</w:t>
      </w:r>
      <w:r>
        <w:rPr>
          <w:rFonts w:hint="eastAsia" w:ascii="宋体" w:hAnsi="宋体"/>
          <w:sz w:val="24"/>
        </w:rPr>
        <w:t>本项目不接受联合体询价。</w:t>
      </w:r>
      <w:r>
        <w:rPr>
          <w:rFonts w:ascii="宋体" w:hAnsi="宋体"/>
          <w:sz w:val="24"/>
        </w:rPr>
        <w:t xml:space="preserve"> </w:t>
      </w:r>
    </w:p>
    <w:p>
      <w:pPr>
        <w:spacing w:line="360" w:lineRule="auto"/>
        <w:ind w:firstLine="480" w:firstLineChars="200"/>
        <w:rPr>
          <w:rFonts w:ascii="宋体"/>
          <w:sz w:val="24"/>
          <w:szCs w:val="18"/>
        </w:rPr>
      </w:pPr>
      <w:r>
        <w:rPr>
          <w:rFonts w:ascii="宋体" w:hAnsi="宋体"/>
          <w:sz w:val="24"/>
          <w:szCs w:val="18"/>
        </w:rPr>
        <w:t>3.6</w:t>
      </w:r>
      <w:r>
        <w:rPr>
          <w:rFonts w:hint="eastAsia" w:ascii="宋体" w:hAnsi="宋体"/>
          <w:sz w:val="24"/>
          <w:szCs w:val="18"/>
        </w:rPr>
        <w:t>询价供应商代理人在本次询价中只能接受一个询价供应商的委托参加询价。</w:t>
      </w:r>
    </w:p>
    <w:p>
      <w:pPr>
        <w:spacing w:line="360" w:lineRule="auto"/>
        <w:ind w:firstLine="480" w:firstLineChars="200"/>
        <w:rPr>
          <w:rFonts w:ascii="宋体"/>
          <w:sz w:val="24"/>
          <w:szCs w:val="18"/>
        </w:rPr>
      </w:pPr>
      <w:r>
        <w:rPr>
          <w:rFonts w:ascii="宋体" w:hAnsi="宋体"/>
          <w:sz w:val="24"/>
          <w:szCs w:val="18"/>
        </w:rPr>
        <w:t>3.7</w:t>
      </w:r>
      <w:r>
        <w:rPr>
          <w:rFonts w:hint="eastAsia" w:ascii="宋体" w:hAnsi="宋体"/>
          <w:sz w:val="24"/>
          <w:szCs w:val="18"/>
        </w:rPr>
        <w:t>询价供应商按本询价通知书规定缴纳询价保证金。</w:t>
      </w:r>
    </w:p>
    <w:p>
      <w:pPr>
        <w:spacing w:line="360" w:lineRule="auto"/>
        <w:ind w:firstLine="480" w:firstLineChars="200"/>
        <w:rPr>
          <w:rFonts w:ascii="宋体"/>
          <w:sz w:val="24"/>
          <w:szCs w:val="18"/>
        </w:rPr>
      </w:pPr>
      <w:r>
        <w:rPr>
          <w:rFonts w:ascii="宋体" w:hAnsi="宋体"/>
          <w:sz w:val="24"/>
          <w:szCs w:val="18"/>
        </w:rPr>
        <w:t>3.8</w:t>
      </w:r>
      <w:r>
        <w:rPr>
          <w:rFonts w:hint="eastAsia" w:ascii="宋体" w:hAnsi="宋体"/>
          <w:sz w:val="24"/>
          <w:szCs w:val="18"/>
        </w:rPr>
        <w:t>询价供应商资格证明材料应当提供：</w:t>
      </w:r>
    </w:p>
    <w:p>
      <w:pPr>
        <w:spacing w:line="360" w:lineRule="auto"/>
        <w:ind w:firstLine="482" w:firstLineChars="200"/>
        <w:rPr>
          <w:rFonts w:ascii="宋体"/>
          <w:b/>
          <w:bCs/>
          <w:sz w:val="24"/>
        </w:rPr>
      </w:pPr>
      <w:r>
        <w:rPr>
          <w:rFonts w:hint="eastAsia" w:ascii="宋体" w:hAnsi="宋体"/>
          <w:b/>
          <w:bCs/>
          <w:sz w:val="24"/>
        </w:rPr>
        <w:t>（</w:t>
      </w:r>
      <w:r>
        <w:rPr>
          <w:rFonts w:ascii="宋体" w:hAnsi="宋体"/>
          <w:b/>
          <w:bCs/>
          <w:sz w:val="24"/>
        </w:rPr>
        <w:t>1</w:t>
      </w:r>
      <w:r>
        <w:rPr>
          <w:rFonts w:hint="eastAsia" w:ascii="宋体" w:hAnsi="宋体"/>
          <w:b/>
          <w:bCs/>
          <w:sz w:val="24"/>
        </w:rPr>
        <w:t>）已缴纳询价保证金的证明材料复印件；</w:t>
      </w:r>
    </w:p>
    <w:p>
      <w:pPr>
        <w:spacing w:line="360" w:lineRule="auto"/>
        <w:ind w:firstLine="482" w:firstLineChars="200"/>
        <w:rPr>
          <w:rFonts w:ascii="宋体"/>
          <w:b/>
          <w:bCs/>
          <w:sz w:val="24"/>
          <w:szCs w:val="18"/>
        </w:rPr>
      </w:pPr>
      <w:r>
        <w:rPr>
          <w:rFonts w:hint="eastAsia" w:ascii="宋体" w:hAnsi="宋体"/>
          <w:b/>
          <w:bCs/>
          <w:sz w:val="24"/>
          <w:szCs w:val="18"/>
        </w:rPr>
        <w:t>（</w:t>
      </w:r>
      <w:r>
        <w:rPr>
          <w:rFonts w:ascii="宋体" w:hAnsi="宋体"/>
          <w:b/>
          <w:bCs/>
          <w:sz w:val="24"/>
          <w:szCs w:val="18"/>
        </w:rPr>
        <w:t>2</w:t>
      </w:r>
      <w:r>
        <w:rPr>
          <w:rFonts w:hint="eastAsia" w:ascii="宋体" w:hAnsi="宋体"/>
          <w:b/>
          <w:bCs/>
          <w:sz w:val="24"/>
          <w:szCs w:val="18"/>
        </w:rPr>
        <w:t>）有效的法人营业执照复印件</w:t>
      </w:r>
      <w:r>
        <w:rPr>
          <w:rFonts w:hint="eastAsia" w:ascii="宋体" w:hAnsi="宋体" w:cs="宋体"/>
          <w:b/>
          <w:bCs/>
          <w:sz w:val="24"/>
        </w:rPr>
        <w:t>或其他法人登记证书复印件</w:t>
      </w:r>
      <w:r>
        <w:rPr>
          <w:rFonts w:hint="eastAsia" w:ascii="宋体" w:hAnsi="宋体"/>
          <w:b/>
          <w:bCs/>
          <w:sz w:val="24"/>
          <w:szCs w:val="18"/>
        </w:rPr>
        <w:t>；</w:t>
      </w:r>
    </w:p>
    <w:p>
      <w:pPr>
        <w:spacing w:line="360" w:lineRule="auto"/>
        <w:ind w:firstLine="482" w:firstLineChars="200"/>
        <w:rPr>
          <w:rFonts w:ascii="宋体"/>
          <w:b/>
          <w:bCs/>
          <w:sz w:val="24"/>
          <w:szCs w:val="18"/>
        </w:rPr>
      </w:pPr>
      <w:r>
        <w:rPr>
          <w:rFonts w:hint="eastAsia" w:ascii="宋体" w:hAnsi="宋体"/>
          <w:b/>
          <w:bCs/>
          <w:sz w:val="24"/>
          <w:szCs w:val="18"/>
        </w:rPr>
        <w:t>（</w:t>
      </w:r>
      <w:r>
        <w:rPr>
          <w:rFonts w:ascii="宋体" w:hAnsi="宋体"/>
          <w:b/>
          <w:bCs/>
          <w:sz w:val="24"/>
          <w:szCs w:val="18"/>
        </w:rPr>
        <w:t>3</w:t>
      </w:r>
      <w:r>
        <w:rPr>
          <w:rFonts w:hint="eastAsia" w:ascii="宋体" w:hAnsi="宋体"/>
          <w:b/>
          <w:bCs/>
          <w:sz w:val="24"/>
          <w:szCs w:val="18"/>
        </w:rPr>
        <w:t>）法定代表人授权书原件（非法定代表人参加时提供）；</w:t>
      </w:r>
    </w:p>
    <w:p>
      <w:pPr>
        <w:spacing w:line="360" w:lineRule="auto"/>
        <w:ind w:firstLine="482" w:firstLineChars="200"/>
        <w:rPr>
          <w:rFonts w:hint="eastAsia"/>
        </w:rPr>
      </w:pPr>
      <w:r>
        <w:rPr>
          <w:rFonts w:hint="eastAsia" w:ascii="宋体" w:hAnsi="宋体" w:cs="宋体"/>
          <w:b/>
          <w:bCs/>
          <w:sz w:val="24"/>
        </w:rPr>
        <w:t>（</w:t>
      </w:r>
      <w:r>
        <w:rPr>
          <w:rFonts w:ascii="宋体" w:hAnsi="宋体" w:cs="宋体"/>
          <w:b/>
          <w:bCs/>
          <w:sz w:val="24"/>
        </w:rPr>
        <w:t>4</w:t>
      </w:r>
      <w:r>
        <w:rPr>
          <w:rFonts w:hint="eastAsia" w:ascii="宋体" w:hAnsi="宋体" w:cs="宋体"/>
          <w:b/>
          <w:bCs/>
          <w:sz w:val="24"/>
        </w:rPr>
        <w:t>）供应商投标截止时间前通过“信用中国”网站（</w:t>
      </w:r>
      <w:r>
        <w:rPr>
          <w:rFonts w:ascii="宋体" w:hAnsi="宋体" w:cs="宋体"/>
          <w:b/>
          <w:bCs/>
          <w:sz w:val="24"/>
        </w:rPr>
        <w:t>www.creditchina.gov.cn</w:t>
      </w:r>
      <w:r>
        <w:rPr>
          <w:rFonts w:hint="eastAsia" w:ascii="宋体" w:hAnsi="宋体" w:cs="宋体"/>
          <w:b/>
          <w:bCs/>
          <w:sz w:val="24"/>
        </w:rPr>
        <w:t>）查询并打印相应的信用记录，供应商提供的查询结果应为其通过上述网站获取的信用信息查询结果原始页面的打印件（或截图）</w:t>
      </w:r>
      <w:r>
        <w:rPr>
          <w:rFonts w:hint="eastAsia" w:ascii="宋体" w:hAnsi="宋体"/>
          <w:b/>
          <w:bCs/>
          <w:sz w:val="24"/>
          <w:szCs w:val="18"/>
        </w:rPr>
        <w:t>；</w:t>
      </w:r>
    </w:p>
    <w:p>
      <w:pPr>
        <w:spacing w:line="360" w:lineRule="auto"/>
        <w:ind w:firstLine="480" w:firstLineChars="200"/>
        <w:outlineLvl w:val="2"/>
        <w:rPr>
          <w:rFonts w:ascii="宋体"/>
          <w:sz w:val="24"/>
        </w:rPr>
      </w:pPr>
      <w:r>
        <w:rPr>
          <w:rFonts w:ascii="宋体" w:hAnsi="宋体"/>
          <w:sz w:val="24"/>
        </w:rPr>
        <w:t>4</w:t>
      </w:r>
      <w:r>
        <w:rPr>
          <w:rFonts w:ascii="宋体"/>
          <w:sz w:val="24"/>
        </w:rPr>
        <w:t>.</w:t>
      </w:r>
      <w:r>
        <w:rPr>
          <w:rFonts w:ascii="宋体" w:hAnsi="宋体"/>
          <w:sz w:val="24"/>
        </w:rPr>
        <w:t xml:space="preserve"> </w:t>
      </w:r>
      <w:r>
        <w:rPr>
          <w:rFonts w:hint="eastAsia" w:ascii="宋体" w:hAnsi="宋体"/>
          <w:sz w:val="24"/>
        </w:rPr>
        <w:t>询价费用</w:t>
      </w:r>
    </w:p>
    <w:p>
      <w:pPr>
        <w:spacing w:line="360" w:lineRule="auto"/>
        <w:ind w:firstLine="480" w:firstLineChars="200"/>
        <w:rPr>
          <w:rFonts w:ascii="宋体"/>
          <w:sz w:val="24"/>
        </w:rPr>
      </w:pPr>
      <w:r>
        <w:rPr>
          <w:rFonts w:ascii="宋体" w:hAnsi="宋体"/>
          <w:sz w:val="24"/>
        </w:rPr>
        <w:t>4.1</w:t>
      </w:r>
      <w:r>
        <w:rPr>
          <w:rFonts w:hint="eastAsia" w:ascii="宋体" w:hAnsi="宋体"/>
          <w:sz w:val="24"/>
        </w:rPr>
        <w:t>不论成交与否，</w:t>
      </w:r>
      <w:r>
        <w:rPr>
          <w:rFonts w:hint="eastAsia" w:ascii="宋体" w:hAnsi="宋体"/>
          <w:sz w:val="24"/>
          <w:szCs w:val="18"/>
        </w:rPr>
        <w:t>询价供应商</w:t>
      </w:r>
      <w:r>
        <w:rPr>
          <w:rFonts w:hint="eastAsia" w:ascii="宋体" w:hAnsi="宋体"/>
          <w:sz w:val="24"/>
        </w:rPr>
        <w:t>应承担所有与准备和参加与询价有关的全部费用，采购人和采购代理机构在任何情况下均无义务和责任承担此类费用。</w:t>
      </w:r>
    </w:p>
    <w:p>
      <w:pPr>
        <w:pStyle w:val="5"/>
        <w:numPr>
          <w:ilvl w:val="1"/>
          <w:numId w:val="0"/>
        </w:numPr>
      </w:pPr>
      <w:bookmarkStart w:id="23" w:name="_Toc4207"/>
      <w:bookmarkStart w:id="24" w:name="_Toc2488"/>
      <w:bookmarkStart w:id="25" w:name="_Toc29888"/>
      <w:bookmarkStart w:id="26" w:name="_Toc5916"/>
      <w:r>
        <w:rPr>
          <w:rFonts w:hint="eastAsia"/>
        </w:rPr>
        <w:t>二、询价通知书</w:t>
      </w:r>
      <w:bookmarkEnd w:id="23"/>
      <w:bookmarkEnd w:id="24"/>
      <w:bookmarkEnd w:id="25"/>
      <w:bookmarkEnd w:id="26"/>
    </w:p>
    <w:p>
      <w:pPr>
        <w:spacing w:line="360" w:lineRule="auto"/>
        <w:ind w:firstLine="480" w:firstLineChars="200"/>
        <w:rPr>
          <w:rFonts w:ascii="宋体"/>
          <w:sz w:val="24"/>
        </w:rPr>
      </w:pPr>
      <w:r>
        <w:rPr>
          <w:rFonts w:ascii="宋体" w:hAnsi="宋体"/>
          <w:sz w:val="24"/>
        </w:rPr>
        <w:t xml:space="preserve">5. </w:t>
      </w:r>
      <w:r>
        <w:rPr>
          <w:rFonts w:hint="eastAsia" w:ascii="宋体" w:hAnsi="宋体"/>
          <w:sz w:val="24"/>
        </w:rPr>
        <w:t>询价通知书的组成</w:t>
      </w:r>
    </w:p>
    <w:p>
      <w:pPr>
        <w:pStyle w:val="6"/>
        <w:snapToGrid w:val="0"/>
        <w:spacing w:line="360" w:lineRule="auto"/>
        <w:ind w:firstLine="480" w:firstLineChars="200"/>
        <w:rPr>
          <w:rFonts w:ascii="宋体"/>
          <w:sz w:val="24"/>
        </w:rPr>
      </w:pPr>
      <w:r>
        <w:rPr>
          <w:rFonts w:ascii="宋体" w:hAnsi="宋体"/>
          <w:sz w:val="24"/>
        </w:rPr>
        <w:t>5.1</w:t>
      </w:r>
      <w:r>
        <w:rPr>
          <w:rFonts w:hint="eastAsia" w:ascii="宋体" w:hAnsi="宋体"/>
          <w:sz w:val="24"/>
        </w:rPr>
        <w:t>询价通知书用以阐明所需货物及服务询价程序和合同主要条款。询价通知书由下述部分组成：</w:t>
      </w:r>
    </w:p>
    <w:p>
      <w:pPr>
        <w:pStyle w:val="6"/>
        <w:snapToGrid w:val="0"/>
        <w:spacing w:line="360" w:lineRule="auto"/>
        <w:ind w:firstLine="480" w:firstLineChars="200"/>
        <w:rPr>
          <w:rFonts w:ascii="宋体"/>
          <w:sz w:val="24"/>
        </w:rPr>
      </w:pPr>
      <w:r>
        <w:rPr>
          <w:rFonts w:hint="eastAsia" w:ascii="宋体" w:hAnsi="宋体"/>
          <w:sz w:val="24"/>
        </w:rPr>
        <w:t>⑴</w:t>
      </w:r>
      <w:r>
        <w:rPr>
          <w:rFonts w:ascii="宋体" w:hAnsi="宋体"/>
          <w:sz w:val="24"/>
        </w:rPr>
        <w:t xml:space="preserve"> </w:t>
      </w:r>
      <w:r>
        <w:rPr>
          <w:rFonts w:hint="eastAsia" w:ascii="宋体" w:hAnsi="宋体"/>
          <w:sz w:val="24"/>
        </w:rPr>
        <w:t>询价邀请</w:t>
      </w:r>
    </w:p>
    <w:p>
      <w:pPr>
        <w:pStyle w:val="6"/>
        <w:snapToGrid w:val="0"/>
        <w:spacing w:line="360" w:lineRule="auto"/>
        <w:ind w:firstLine="480" w:firstLineChars="200"/>
        <w:rPr>
          <w:rFonts w:ascii="宋体"/>
          <w:sz w:val="24"/>
        </w:rPr>
      </w:pPr>
      <w:r>
        <w:rPr>
          <w:rFonts w:hint="eastAsia" w:ascii="宋体" w:hAnsi="宋体"/>
          <w:sz w:val="24"/>
        </w:rPr>
        <w:t>⑵</w:t>
      </w:r>
      <w:r>
        <w:rPr>
          <w:rFonts w:ascii="宋体" w:hAnsi="宋体"/>
          <w:sz w:val="24"/>
        </w:rPr>
        <w:t xml:space="preserve"> </w:t>
      </w:r>
      <w:r>
        <w:rPr>
          <w:rFonts w:hint="eastAsia" w:ascii="宋体" w:hAnsi="宋体"/>
          <w:sz w:val="24"/>
        </w:rPr>
        <w:t>询价供应商须知</w:t>
      </w:r>
      <w:r>
        <w:rPr>
          <w:rFonts w:ascii="宋体" w:hAnsi="宋体"/>
          <w:sz w:val="24"/>
        </w:rPr>
        <w:t xml:space="preserve"> </w:t>
      </w:r>
    </w:p>
    <w:p>
      <w:pPr>
        <w:pStyle w:val="6"/>
        <w:snapToGrid w:val="0"/>
        <w:spacing w:line="360" w:lineRule="auto"/>
        <w:ind w:firstLine="480" w:firstLineChars="200"/>
        <w:rPr>
          <w:rFonts w:ascii="宋体"/>
          <w:sz w:val="24"/>
        </w:rPr>
      </w:pPr>
      <w:r>
        <w:rPr>
          <w:rFonts w:hint="eastAsia" w:ascii="宋体" w:hAnsi="宋体"/>
          <w:sz w:val="24"/>
        </w:rPr>
        <w:t>⑶</w:t>
      </w:r>
      <w:r>
        <w:rPr>
          <w:rFonts w:ascii="宋体" w:hAnsi="宋体"/>
          <w:sz w:val="24"/>
        </w:rPr>
        <w:t xml:space="preserve"> </w:t>
      </w:r>
      <w:r>
        <w:rPr>
          <w:rFonts w:hint="eastAsia" w:ascii="宋体" w:hAnsi="宋体"/>
          <w:sz w:val="24"/>
        </w:rPr>
        <w:t>询价内容及要求</w:t>
      </w:r>
    </w:p>
    <w:p>
      <w:pPr>
        <w:pStyle w:val="6"/>
        <w:snapToGrid w:val="0"/>
        <w:spacing w:line="360" w:lineRule="auto"/>
        <w:ind w:firstLine="480" w:firstLineChars="200"/>
        <w:rPr>
          <w:rFonts w:ascii="宋体"/>
          <w:sz w:val="24"/>
        </w:rPr>
      </w:pPr>
      <w:r>
        <w:rPr>
          <w:rFonts w:hint="eastAsia" w:ascii="宋体" w:hAnsi="宋体"/>
          <w:sz w:val="24"/>
        </w:rPr>
        <w:t>⑷</w:t>
      </w:r>
      <w:r>
        <w:rPr>
          <w:rFonts w:ascii="宋体" w:hAnsi="宋体"/>
          <w:sz w:val="24"/>
        </w:rPr>
        <w:t xml:space="preserve"> </w:t>
      </w:r>
      <w:r>
        <w:rPr>
          <w:rFonts w:hint="eastAsia" w:ascii="宋体" w:hAnsi="宋体"/>
          <w:bCs/>
          <w:sz w:val="24"/>
        </w:rPr>
        <w:t>合同主要条款</w:t>
      </w:r>
    </w:p>
    <w:p>
      <w:pPr>
        <w:pStyle w:val="6"/>
        <w:snapToGrid w:val="0"/>
        <w:spacing w:line="360" w:lineRule="auto"/>
        <w:ind w:firstLine="480" w:firstLineChars="200"/>
        <w:rPr>
          <w:rFonts w:ascii="宋体"/>
          <w:sz w:val="24"/>
        </w:rPr>
      </w:pPr>
      <w:r>
        <w:rPr>
          <w:rFonts w:hint="eastAsia" w:ascii="宋体" w:hAnsi="宋体"/>
          <w:sz w:val="24"/>
        </w:rPr>
        <w:t>⑸</w:t>
      </w:r>
      <w:r>
        <w:rPr>
          <w:rFonts w:ascii="宋体" w:hAnsi="宋体"/>
          <w:sz w:val="24"/>
        </w:rPr>
        <w:t xml:space="preserve"> </w:t>
      </w:r>
      <w:r>
        <w:rPr>
          <w:rFonts w:hint="eastAsia" w:ascii="宋体" w:hAnsi="宋体"/>
          <w:sz w:val="24"/>
        </w:rPr>
        <w:t>询价响应文件格式</w:t>
      </w:r>
    </w:p>
    <w:p>
      <w:pPr>
        <w:spacing w:line="360" w:lineRule="auto"/>
        <w:ind w:firstLine="480" w:firstLineChars="200"/>
        <w:rPr>
          <w:rFonts w:ascii="宋体"/>
          <w:sz w:val="24"/>
        </w:rPr>
      </w:pPr>
      <w:bookmarkStart w:id="27" w:name="_Toc430488851"/>
      <w:bookmarkStart w:id="28" w:name="_Toc415567497"/>
      <w:bookmarkStart w:id="29" w:name="_Toc430488644"/>
      <w:bookmarkStart w:id="30" w:name="_Toc430492126"/>
      <w:bookmarkStart w:id="31" w:name="_Toc430490612"/>
      <w:bookmarkStart w:id="32" w:name="_Toc430489119"/>
      <w:bookmarkStart w:id="33" w:name="_Toc430422413"/>
      <w:r>
        <w:rPr>
          <w:rFonts w:ascii="宋体" w:hAnsi="宋体"/>
          <w:sz w:val="24"/>
        </w:rPr>
        <w:t>6.</w:t>
      </w:r>
      <w:bookmarkEnd w:id="27"/>
      <w:bookmarkEnd w:id="28"/>
      <w:bookmarkEnd w:id="29"/>
      <w:bookmarkEnd w:id="30"/>
      <w:bookmarkEnd w:id="31"/>
      <w:bookmarkEnd w:id="32"/>
      <w:bookmarkEnd w:id="33"/>
      <w:r>
        <w:rPr>
          <w:rFonts w:ascii="宋体" w:hAnsi="宋体"/>
          <w:sz w:val="24"/>
        </w:rPr>
        <w:t xml:space="preserve"> </w:t>
      </w:r>
      <w:r>
        <w:rPr>
          <w:rFonts w:hint="eastAsia" w:ascii="宋体" w:hAnsi="宋体"/>
          <w:sz w:val="24"/>
        </w:rPr>
        <w:t>询价通知书的澄清</w:t>
      </w:r>
    </w:p>
    <w:p>
      <w:pPr>
        <w:spacing w:line="360" w:lineRule="auto"/>
        <w:ind w:left="84" w:leftChars="40" w:firstLine="480" w:firstLineChars="200"/>
        <w:rPr>
          <w:rFonts w:ascii="宋体"/>
          <w:sz w:val="24"/>
        </w:rPr>
      </w:pPr>
      <w:bookmarkStart w:id="34" w:name="_Toc17516"/>
      <w:r>
        <w:rPr>
          <w:rFonts w:ascii="宋体" w:hAnsi="宋体"/>
          <w:sz w:val="24"/>
        </w:rPr>
        <w:t>6.1</w:t>
      </w:r>
      <w:r>
        <w:rPr>
          <w:rFonts w:hint="eastAsia" w:ascii="宋体" w:hAnsi="宋体"/>
          <w:sz w:val="24"/>
        </w:rPr>
        <w:t>询价供应商对询价通知书如有疑点，可要求澄清，但应在递交询价响应文件截止时间</w:t>
      </w:r>
      <w:r>
        <w:rPr>
          <w:rFonts w:ascii="宋体" w:hAnsi="宋体"/>
          <w:sz w:val="24"/>
        </w:rPr>
        <w:t>2</w:t>
      </w:r>
      <w:r>
        <w:rPr>
          <w:rFonts w:hint="eastAsia" w:ascii="宋体" w:hAnsi="宋体"/>
          <w:sz w:val="24"/>
        </w:rPr>
        <w:t>个工作日前按询价邀请中载明的地址以书面形式（包括书面、信函原件的形式，下同）送达采购人和采购代理机构。采购人和采购代理机构将视情况确定采用适当方式予以澄清或以书面形式予以答复，必要时将不标明查询来源的书面答复，分送已购买询价通知书的每一潜在供应商。</w:t>
      </w:r>
      <w:bookmarkEnd w:id="34"/>
    </w:p>
    <w:p>
      <w:pPr>
        <w:spacing w:line="360" w:lineRule="auto"/>
        <w:ind w:left="84" w:leftChars="40" w:firstLine="480" w:firstLineChars="200"/>
        <w:rPr>
          <w:rFonts w:ascii="宋体"/>
          <w:sz w:val="24"/>
        </w:rPr>
      </w:pPr>
      <w:r>
        <w:rPr>
          <w:rFonts w:ascii="宋体" w:hAnsi="宋体"/>
          <w:sz w:val="24"/>
        </w:rPr>
        <w:t xml:space="preserve">6.2 </w:t>
      </w:r>
      <w:r>
        <w:rPr>
          <w:rFonts w:hint="eastAsia" w:ascii="宋体" w:hAnsi="宋体"/>
          <w:sz w:val="24"/>
        </w:rPr>
        <w:t>供应商所提供的联系电话应使采购人和采购代理机构能方便地与供应商取得联系，若由于该方面的原因使采购人和采购代理机构发出的函件无法送达供应商时，由此造成的后果由供应商自行负责。</w:t>
      </w:r>
    </w:p>
    <w:p>
      <w:pPr>
        <w:spacing w:line="360" w:lineRule="auto"/>
        <w:ind w:left="84" w:leftChars="40" w:firstLine="480" w:firstLineChars="200"/>
        <w:rPr>
          <w:rFonts w:ascii="宋体"/>
          <w:sz w:val="24"/>
        </w:rPr>
      </w:pPr>
      <w:r>
        <w:rPr>
          <w:rFonts w:ascii="宋体" w:hAnsi="宋体"/>
          <w:sz w:val="24"/>
        </w:rPr>
        <w:t xml:space="preserve">6.3 </w:t>
      </w:r>
      <w:r>
        <w:rPr>
          <w:rFonts w:hint="eastAsia" w:ascii="宋体" w:hAnsi="宋体"/>
          <w:sz w:val="24"/>
        </w:rPr>
        <w:t>采购人和采购代理机构将视情况确定是否有必要在询价采购会前召开答疑会。如果召开答疑会，将通知所有已登记备案并领取了询价通知书的潜在询价供应商。</w:t>
      </w:r>
    </w:p>
    <w:p>
      <w:pPr>
        <w:spacing w:line="360" w:lineRule="auto"/>
        <w:ind w:left="84" w:leftChars="40" w:firstLine="480" w:firstLineChars="200"/>
        <w:rPr>
          <w:rFonts w:ascii="宋体"/>
          <w:sz w:val="24"/>
        </w:rPr>
      </w:pPr>
      <w:r>
        <w:rPr>
          <w:rFonts w:ascii="宋体" w:hAnsi="宋体"/>
          <w:sz w:val="24"/>
        </w:rPr>
        <w:t>7</w:t>
      </w:r>
      <w:r>
        <w:rPr>
          <w:rFonts w:hint="eastAsia" w:ascii="宋体" w:hAnsi="宋体"/>
          <w:sz w:val="24"/>
        </w:rPr>
        <w:t>、询价通知书的补充、修改</w:t>
      </w:r>
    </w:p>
    <w:p>
      <w:pPr>
        <w:wordWrap w:val="0"/>
        <w:spacing w:line="360" w:lineRule="auto"/>
        <w:ind w:left="84" w:leftChars="40" w:firstLine="480" w:firstLineChars="200"/>
        <w:rPr>
          <w:rFonts w:ascii="宋体"/>
          <w:sz w:val="24"/>
        </w:rPr>
      </w:pPr>
      <w:r>
        <w:rPr>
          <w:rFonts w:ascii="宋体" w:hAnsi="宋体"/>
          <w:sz w:val="24"/>
        </w:rPr>
        <w:t>7.1</w:t>
      </w:r>
      <w:r>
        <w:rPr>
          <w:rFonts w:hint="eastAsia" w:ascii="宋体" w:hAnsi="宋体"/>
          <w:sz w:val="24"/>
        </w:rPr>
        <w:t>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w:t>
      </w:r>
      <w:r>
        <w:rPr>
          <w:rFonts w:hint="eastAsia" w:ascii="宋体" w:hAnsi="宋体"/>
          <w:sz w:val="24"/>
          <w:lang w:val="en-US" w:eastAsia="zh-CN"/>
        </w:rPr>
        <w:t>2</w:t>
      </w:r>
      <w:r>
        <w:rPr>
          <w:rFonts w:hint="eastAsia" w:ascii="宋体" w:hAnsi="宋体"/>
          <w:sz w:val="24"/>
        </w:rPr>
        <w:t>个</w:t>
      </w:r>
      <w:r>
        <w:rPr>
          <w:rFonts w:hint="eastAsia" w:ascii="宋体" w:hAnsi="宋体"/>
          <w:color w:val="000000" w:themeColor="text1"/>
          <w:sz w:val="24"/>
          <w:lang w:eastAsia="zh-CN"/>
          <w14:textFill>
            <w14:solidFill>
              <w14:schemeClr w14:val="tx1"/>
            </w14:solidFill>
          </w14:textFill>
        </w:rPr>
        <w:t>日历日</w:t>
      </w:r>
      <w:r>
        <w:rPr>
          <w:rFonts w:hint="eastAsia" w:ascii="宋体" w:hAnsi="宋体"/>
          <w:sz w:val="24"/>
        </w:rPr>
        <w:t>前，以</w:t>
      </w:r>
      <w:r>
        <w:rPr>
          <w:rFonts w:hint="eastAsia" w:ascii="宋体" w:hAnsi="宋体"/>
          <w:sz w:val="24"/>
          <w:lang w:val="en-US" w:eastAsia="zh-CN"/>
        </w:rPr>
        <w:t>通过</w:t>
      </w:r>
      <w:r>
        <w:rPr>
          <w:rFonts w:hint="eastAsia" w:ascii="宋体" w:hAnsi="宋体"/>
          <w:b/>
          <w:color w:val="000000" w:themeColor="text1"/>
          <w:sz w:val="24"/>
          <w:lang w:eastAsia="zh-CN"/>
          <w14:textFill>
            <w14:solidFill>
              <w14:schemeClr w14:val="tx1"/>
            </w14:solidFill>
          </w14:textFill>
        </w:rPr>
        <w:t>龙岩城市发展集团有限公司官方网站（http://www.lycfjt.com/）、龙岩智发科技有限责任公司（https://zhifaly.com/）</w:t>
      </w:r>
      <w:r>
        <w:rPr>
          <w:rFonts w:hint="eastAsia" w:ascii="宋体" w:hAnsi="宋体"/>
          <w:sz w:val="24"/>
        </w:rPr>
        <w:t>发布通知的形式通知所有潜在询价供应商，不足</w:t>
      </w:r>
      <w:r>
        <w:rPr>
          <w:rFonts w:hint="eastAsia" w:ascii="宋体" w:hAnsi="宋体"/>
          <w:sz w:val="24"/>
          <w:lang w:val="en-US" w:eastAsia="zh-CN"/>
        </w:rPr>
        <w:t>2</w:t>
      </w:r>
      <w:r>
        <w:rPr>
          <w:rFonts w:hint="eastAsia" w:ascii="宋体" w:hAnsi="宋体"/>
          <w:sz w:val="24"/>
        </w:rPr>
        <w:t>个</w:t>
      </w:r>
      <w:r>
        <w:rPr>
          <w:rFonts w:hint="eastAsia" w:ascii="宋体" w:hAnsi="宋体"/>
          <w:color w:val="000000" w:themeColor="text1"/>
          <w:sz w:val="24"/>
          <w:lang w:eastAsia="zh-CN"/>
          <w14:textFill>
            <w14:solidFill>
              <w14:schemeClr w14:val="tx1"/>
            </w14:solidFill>
          </w14:textFill>
        </w:rPr>
        <w:t>日历日</w:t>
      </w:r>
      <w:r>
        <w:rPr>
          <w:rFonts w:hint="eastAsia" w:ascii="宋体" w:hAnsi="宋体"/>
          <w:sz w:val="24"/>
        </w:rPr>
        <w:t>的，应当顺延提交响应文件截止之日。</w:t>
      </w:r>
    </w:p>
    <w:p>
      <w:pPr>
        <w:spacing w:line="360" w:lineRule="auto"/>
        <w:ind w:left="84" w:leftChars="40" w:firstLine="480" w:firstLineChars="200"/>
        <w:rPr>
          <w:rFonts w:ascii="宋体"/>
          <w:sz w:val="24"/>
        </w:rPr>
      </w:pPr>
      <w:r>
        <w:rPr>
          <w:rFonts w:ascii="宋体" w:hAnsi="宋体"/>
          <w:sz w:val="24"/>
        </w:rPr>
        <w:t>7.2</w:t>
      </w:r>
      <w:r>
        <w:rPr>
          <w:rFonts w:hint="eastAsia" w:ascii="宋体" w:hAnsi="宋体"/>
          <w:sz w:val="24"/>
        </w:rPr>
        <w:t>询价通知书的修改书将构成询价通知书的一部分，对询价供应商同样具有约束力。</w:t>
      </w:r>
    </w:p>
    <w:p>
      <w:pPr>
        <w:spacing w:line="360" w:lineRule="auto"/>
        <w:ind w:left="84" w:leftChars="40" w:firstLine="480" w:firstLineChars="200"/>
        <w:rPr>
          <w:rFonts w:ascii="宋体"/>
          <w:sz w:val="24"/>
        </w:rPr>
      </w:pPr>
      <w:r>
        <w:rPr>
          <w:rFonts w:ascii="宋体" w:hAnsi="宋体"/>
          <w:sz w:val="24"/>
        </w:rPr>
        <w:t>7.3</w:t>
      </w:r>
      <w:r>
        <w:rPr>
          <w:rFonts w:hint="eastAsia" w:ascii="宋体" w:hAnsi="宋体"/>
          <w:sz w:val="24"/>
        </w:rPr>
        <w:t>询价通知书、询价通知书澄清（答疑）纪要、询价通知书修改补充通知书内容均以书面明确的内容为准。当询价通知书、修改补充通知、澄清（答疑）纪要内容相互矛盾时，以最后发出的通知（或纪要）或修改文件为准。</w:t>
      </w:r>
    </w:p>
    <w:p>
      <w:pPr>
        <w:spacing w:line="360" w:lineRule="auto"/>
        <w:ind w:left="84" w:leftChars="40" w:firstLine="480" w:firstLineChars="200"/>
        <w:rPr>
          <w:rFonts w:ascii="宋体"/>
          <w:sz w:val="24"/>
        </w:rPr>
      </w:pPr>
      <w:r>
        <w:rPr>
          <w:rFonts w:ascii="宋体" w:hAnsi="宋体"/>
          <w:sz w:val="24"/>
        </w:rPr>
        <w:t>7.4</w:t>
      </w:r>
      <w:r>
        <w:rPr>
          <w:rFonts w:hint="eastAsia" w:ascii="宋体" w:hAnsi="宋体"/>
          <w:sz w:val="24"/>
        </w:rPr>
        <w:t>采购人和采购代理机构对询价供应商误读、误解补充修改文件而导致的不良后果，不负任何责任。</w:t>
      </w:r>
    </w:p>
    <w:p>
      <w:pPr>
        <w:spacing w:line="360" w:lineRule="auto"/>
        <w:ind w:left="84" w:leftChars="40" w:firstLine="480" w:firstLineChars="200"/>
        <w:rPr>
          <w:rFonts w:ascii="宋体"/>
          <w:sz w:val="24"/>
        </w:rPr>
      </w:pPr>
      <w:r>
        <w:rPr>
          <w:rFonts w:ascii="宋体" w:hAnsi="宋体"/>
          <w:sz w:val="24"/>
        </w:rPr>
        <w:t>7.5</w:t>
      </w:r>
      <w:r>
        <w:rPr>
          <w:rFonts w:hint="eastAsia" w:ascii="宋体" w:hAnsi="宋体"/>
          <w:sz w:val="24"/>
        </w:rPr>
        <w:t>与本次询价采购有关的一切正式往来，如质疑、投诉、技术咨询等，应采用书面形式。</w:t>
      </w:r>
    </w:p>
    <w:p>
      <w:pPr>
        <w:wordWrap w:val="0"/>
        <w:spacing w:before="120"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特别提示：询价通知书如有澄清、修改，公告将在</w:t>
      </w:r>
      <w:r>
        <w:rPr>
          <w:rFonts w:hint="eastAsia" w:ascii="宋体" w:hAnsi="宋体"/>
          <w:b/>
          <w:color w:val="000000" w:themeColor="text1"/>
          <w:sz w:val="24"/>
          <w:lang w:eastAsia="zh-CN"/>
          <w14:textFill>
            <w14:solidFill>
              <w14:schemeClr w14:val="tx1"/>
            </w14:solidFill>
          </w14:textFill>
        </w:rPr>
        <w:t>龙岩城市发展集团有限公司官方网站（http://www.lycfjt.com/）、龙岩智发科技有限责任公司（https://zhifaly.com/）</w:t>
      </w:r>
      <w:r>
        <w:rPr>
          <w:rFonts w:hint="eastAsia" w:ascii="宋体" w:hAnsi="宋体"/>
          <w:b/>
          <w:color w:val="000000" w:themeColor="text1"/>
          <w:sz w:val="24"/>
          <w14:textFill>
            <w14:solidFill>
              <w14:schemeClr w14:val="tx1"/>
            </w14:solidFill>
          </w14:textFill>
        </w:rPr>
        <w:t>上发布，请潜在询价供应商随时密切关注上述网站并下载相关信息，招标代理机构不再另行通知（相同条款如有多次修改，以最后一次修改为准）。潜在询价供应商未下载澄清、修改内容的，后果自行承担。</w:t>
      </w:r>
    </w:p>
    <w:p>
      <w:pPr>
        <w:spacing w:line="360" w:lineRule="auto"/>
        <w:rPr>
          <w:rFonts w:ascii="宋体"/>
          <w:sz w:val="24"/>
        </w:rPr>
      </w:pPr>
    </w:p>
    <w:p>
      <w:pPr>
        <w:pStyle w:val="16"/>
      </w:pPr>
    </w:p>
    <w:p>
      <w:pPr>
        <w:pStyle w:val="5"/>
        <w:numPr>
          <w:ilvl w:val="1"/>
          <w:numId w:val="0"/>
        </w:numPr>
      </w:pPr>
      <w:bookmarkStart w:id="35" w:name="_Toc31906"/>
      <w:bookmarkStart w:id="36" w:name="_Toc17535"/>
      <w:bookmarkStart w:id="37" w:name="_Toc26538"/>
      <w:r>
        <w:rPr>
          <w:rFonts w:hint="eastAsia"/>
        </w:rPr>
        <w:t>三、</w:t>
      </w:r>
      <w:r>
        <w:t xml:space="preserve">  </w:t>
      </w:r>
      <w:r>
        <w:rPr>
          <w:rFonts w:hint="eastAsia"/>
        </w:rPr>
        <w:t>询价响应文件的编写</w:t>
      </w:r>
      <w:bookmarkEnd w:id="35"/>
      <w:bookmarkEnd w:id="36"/>
      <w:bookmarkEnd w:id="37"/>
    </w:p>
    <w:p>
      <w:pPr>
        <w:spacing w:line="360" w:lineRule="auto"/>
        <w:ind w:firstLine="480" w:firstLineChars="200"/>
        <w:rPr>
          <w:rFonts w:ascii="宋体"/>
          <w:sz w:val="24"/>
        </w:rPr>
      </w:pPr>
      <w:r>
        <w:rPr>
          <w:rFonts w:ascii="宋体" w:hAnsi="宋体"/>
          <w:sz w:val="24"/>
        </w:rPr>
        <w:t xml:space="preserve">8. </w:t>
      </w:r>
      <w:r>
        <w:rPr>
          <w:rFonts w:hint="eastAsia" w:ascii="宋体" w:hAnsi="宋体"/>
          <w:sz w:val="24"/>
        </w:rPr>
        <w:t>要求</w:t>
      </w:r>
    </w:p>
    <w:p>
      <w:pPr>
        <w:spacing w:line="360" w:lineRule="auto"/>
        <w:ind w:firstLine="480" w:firstLineChars="200"/>
        <w:rPr>
          <w:rFonts w:ascii="宋体"/>
          <w:sz w:val="24"/>
        </w:rPr>
      </w:pPr>
      <w:r>
        <w:rPr>
          <w:rFonts w:ascii="宋体" w:hAnsi="宋体"/>
          <w:sz w:val="24"/>
        </w:rPr>
        <w:t>8.1</w:t>
      </w:r>
      <w:r>
        <w:rPr>
          <w:rFonts w:hint="eastAsia" w:ascii="宋体" w:hAnsi="宋体"/>
          <w:sz w:val="24"/>
        </w:rPr>
        <w:t>询价供应商应仔细阅读询价通知书的所有内容，按照询价通知书的要求提交询价响应文件。询价响应文件应对询价通知书的要求作出实质性响应，并保证所提供的全部资料的真实性，否则其询价将被拒绝。</w:t>
      </w:r>
    </w:p>
    <w:p>
      <w:pPr>
        <w:tabs>
          <w:tab w:val="left" w:pos="900"/>
        </w:tabs>
        <w:spacing w:after="120" w:line="360" w:lineRule="auto"/>
        <w:ind w:firstLine="480" w:firstLineChars="200"/>
        <w:rPr>
          <w:rFonts w:ascii="宋体"/>
          <w:sz w:val="24"/>
        </w:rPr>
      </w:pPr>
      <w:r>
        <w:rPr>
          <w:rFonts w:ascii="宋体" w:hAnsi="宋体"/>
          <w:sz w:val="24"/>
        </w:rPr>
        <w:t xml:space="preserve">8.2 </w:t>
      </w:r>
      <w:r>
        <w:rPr>
          <w:rFonts w:hint="eastAsia" w:ascii="宋体" w:hAnsi="宋体"/>
          <w:sz w:val="24"/>
        </w:rPr>
        <w:t>除非有另外的规定，询价供应商可对询价货物一览表所列的全部或部分进行投报。招标代理机构不接受有任何可选择性的报价，每一种货物只能有一个报价。</w:t>
      </w:r>
    </w:p>
    <w:p>
      <w:pPr>
        <w:spacing w:line="360" w:lineRule="auto"/>
        <w:ind w:firstLine="480" w:firstLineChars="200"/>
        <w:rPr>
          <w:rFonts w:ascii="宋体"/>
          <w:sz w:val="24"/>
        </w:rPr>
      </w:pPr>
      <w:r>
        <w:rPr>
          <w:rFonts w:ascii="宋体" w:hAnsi="宋体"/>
          <w:sz w:val="24"/>
        </w:rPr>
        <w:t xml:space="preserve">9. </w:t>
      </w:r>
      <w:r>
        <w:rPr>
          <w:rFonts w:hint="eastAsia" w:ascii="宋体" w:hAnsi="宋体"/>
          <w:sz w:val="24"/>
        </w:rPr>
        <w:t>询价响应文件语言</w:t>
      </w:r>
    </w:p>
    <w:p>
      <w:pPr>
        <w:spacing w:line="360" w:lineRule="auto"/>
        <w:ind w:firstLine="480" w:firstLineChars="200"/>
        <w:rPr>
          <w:rFonts w:ascii="宋体"/>
          <w:sz w:val="24"/>
        </w:rPr>
      </w:pPr>
      <w:r>
        <w:rPr>
          <w:rFonts w:ascii="宋体" w:hAnsi="宋体"/>
          <w:sz w:val="24"/>
        </w:rPr>
        <w:t>9.1</w:t>
      </w:r>
      <w:r>
        <w:rPr>
          <w:rFonts w:hint="eastAsia" w:ascii="宋体" w:hAnsi="宋体"/>
          <w:sz w:val="24"/>
        </w:rPr>
        <w:t>询价响应文件应用中文书写。各种计量单位及符号应采用国际上统一使用的公制计量单位和符号。</w:t>
      </w:r>
    </w:p>
    <w:p>
      <w:pPr>
        <w:spacing w:line="360" w:lineRule="auto"/>
        <w:ind w:firstLine="480" w:firstLineChars="200"/>
        <w:rPr>
          <w:rFonts w:ascii="宋体"/>
          <w:sz w:val="24"/>
        </w:rPr>
      </w:pPr>
      <w:r>
        <w:rPr>
          <w:rFonts w:ascii="宋体" w:hAnsi="宋体"/>
          <w:sz w:val="24"/>
        </w:rPr>
        <w:t>9.2</w:t>
      </w:r>
      <w:r>
        <w:rPr>
          <w:rFonts w:hint="eastAsia"/>
          <w:sz w:val="24"/>
        </w:rPr>
        <w:t>采购文件中载明的资格或技术商务要求中涉及的询价供应商提供的证明文件原件属于非中文描述的，必须提供具有翻译资质的机构翻译的中文译本。未按要求提供中文译本的，认定为该项资格或技术商务要求不符合。翻译机构应为中国翻译协会成员单位，翻译的中文译本应由翻译人员签名并加盖翻译机构公章，同时提供翻译人员翻译资格证书。询价供应商询价时应提供中文译本、翻译机构及翻译人员资格证书复印件，并加盖询价供应商公章。</w:t>
      </w:r>
    </w:p>
    <w:p>
      <w:pPr>
        <w:spacing w:line="360" w:lineRule="auto"/>
        <w:ind w:firstLine="480" w:firstLineChars="200"/>
        <w:rPr>
          <w:rFonts w:ascii="宋体"/>
          <w:sz w:val="24"/>
        </w:rPr>
      </w:pPr>
      <w:r>
        <w:rPr>
          <w:rFonts w:ascii="宋体" w:hAnsi="宋体"/>
          <w:sz w:val="24"/>
        </w:rPr>
        <w:t xml:space="preserve">10. </w:t>
      </w:r>
      <w:r>
        <w:rPr>
          <w:rFonts w:hint="eastAsia" w:ascii="宋体" w:hAnsi="宋体"/>
          <w:sz w:val="24"/>
        </w:rPr>
        <w:t>询价响应文件的组成</w:t>
      </w:r>
    </w:p>
    <w:p>
      <w:pPr>
        <w:spacing w:line="360" w:lineRule="auto"/>
        <w:ind w:firstLine="480" w:firstLineChars="200"/>
        <w:rPr>
          <w:rFonts w:ascii="宋体"/>
          <w:sz w:val="24"/>
        </w:rPr>
      </w:pPr>
      <w:r>
        <w:rPr>
          <w:rFonts w:ascii="宋体" w:hAnsi="宋体"/>
          <w:sz w:val="24"/>
        </w:rPr>
        <w:t>10</w:t>
      </w:r>
      <w:r>
        <w:rPr>
          <w:rFonts w:ascii="宋体"/>
          <w:sz w:val="24"/>
        </w:rPr>
        <w:t>.</w:t>
      </w:r>
      <w:r>
        <w:rPr>
          <w:rFonts w:ascii="宋体" w:hAnsi="宋体"/>
          <w:sz w:val="24"/>
        </w:rPr>
        <w:t>1</w:t>
      </w:r>
      <w:r>
        <w:rPr>
          <w:rFonts w:hint="eastAsia" w:ascii="宋体" w:hAnsi="宋体"/>
          <w:sz w:val="24"/>
        </w:rPr>
        <w:t>询价响应文件的组成</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）响应书</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）报价一览表</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）报价分项表</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）资格证明文件（见</w:t>
      </w:r>
      <w:r>
        <w:rPr>
          <w:rFonts w:ascii="宋体" w:hAnsi="宋体"/>
          <w:sz w:val="24"/>
        </w:rPr>
        <w:t>3.8</w:t>
      </w:r>
      <w:r>
        <w:rPr>
          <w:rFonts w:hint="eastAsia" w:ascii="宋体" w:hAnsi="宋体"/>
          <w:sz w:val="24"/>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）技术和服务要求响应表</w:t>
      </w:r>
    </w:p>
    <w:p>
      <w:pPr>
        <w:spacing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）采购内容及要求的承诺书</w:t>
      </w:r>
    </w:p>
    <w:p>
      <w:pPr>
        <w:spacing w:line="360" w:lineRule="auto"/>
        <w:ind w:firstLine="480" w:firstLineChars="200"/>
        <w:rPr>
          <w:rFonts w:ascii="宋体"/>
          <w:sz w:val="24"/>
        </w:rPr>
      </w:pPr>
      <w:r>
        <w:rPr>
          <w:rFonts w:hint="eastAsia" w:ascii="宋体" w:hAnsi="宋体"/>
          <w:sz w:val="24"/>
        </w:rPr>
        <w:t>（</w:t>
      </w:r>
      <w:r>
        <w:rPr>
          <w:rFonts w:ascii="宋体" w:hAnsi="宋体"/>
          <w:sz w:val="24"/>
        </w:rPr>
        <w:t>7</w:t>
      </w:r>
      <w:r>
        <w:rPr>
          <w:rFonts w:hint="eastAsia" w:ascii="宋体" w:hAnsi="宋体"/>
          <w:sz w:val="24"/>
        </w:rPr>
        <w:t>）提交的其他资料（若无此项资料则无需提供）</w:t>
      </w:r>
    </w:p>
    <w:p>
      <w:pPr>
        <w:pStyle w:val="90"/>
        <w:ind w:firstLine="31680"/>
        <w:rPr>
          <w:rFonts w:ascii="宋体"/>
          <w:b/>
        </w:rPr>
      </w:pPr>
      <w:r>
        <w:rPr>
          <w:rFonts w:hint="eastAsia"/>
          <w:b/>
        </w:rPr>
        <w:t>上述（</w:t>
      </w:r>
      <w:r>
        <w:rPr>
          <w:b/>
        </w:rPr>
        <w:t>1</w:t>
      </w:r>
      <w:r>
        <w:rPr>
          <w:rFonts w:hint="eastAsia"/>
          <w:b/>
        </w:rPr>
        <w:t>）至（</w:t>
      </w:r>
      <w:r>
        <w:rPr>
          <w:b/>
        </w:rPr>
        <w:t>6</w:t>
      </w:r>
      <w:r>
        <w:rPr>
          <w:rFonts w:hint="eastAsia"/>
          <w:b/>
        </w:rPr>
        <w:t>）项材料，询价供应商必须提供，否则将被视为未实质性响应询价通知书要求。</w:t>
      </w:r>
    </w:p>
    <w:p>
      <w:pPr>
        <w:spacing w:line="360" w:lineRule="auto"/>
        <w:ind w:firstLine="480" w:firstLineChars="200"/>
        <w:rPr>
          <w:rFonts w:ascii="宋体"/>
          <w:sz w:val="24"/>
        </w:rPr>
      </w:pPr>
      <w:r>
        <w:rPr>
          <w:rFonts w:ascii="宋体" w:hAnsi="宋体"/>
          <w:sz w:val="24"/>
        </w:rPr>
        <w:t xml:space="preserve">11. </w:t>
      </w:r>
      <w:r>
        <w:rPr>
          <w:rFonts w:hint="eastAsia" w:ascii="宋体" w:hAnsi="宋体"/>
          <w:sz w:val="24"/>
        </w:rPr>
        <w:t>询价响应有效期</w:t>
      </w:r>
    </w:p>
    <w:p>
      <w:pPr>
        <w:spacing w:line="360" w:lineRule="auto"/>
        <w:ind w:firstLine="480" w:firstLineChars="200"/>
        <w:rPr>
          <w:rFonts w:ascii="宋体"/>
          <w:sz w:val="24"/>
        </w:rPr>
      </w:pPr>
      <w:r>
        <w:rPr>
          <w:rFonts w:ascii="宋体" w:hAnsi="宋体"/>
          <w:sz w:val="24"/>
        </w:rPr>
        <w:t>11.1</w:t>
      </w:r>
      <w:r>
        <w:rPr>
          <w:rFonts w:hint="eastAsia" w:ascii="宋体" w:hAnsi="宋体"/>
          <w:sz w:val="24"/>
        </w:rPr>
        <w:t>询价响应文件从</w:t>
      </w:r>
      <w:r>
        <w:rPr>
          <w:rFonts w:hint="eastAsia" w:ascii="宋体" w:hAnsi="宋体"/>
          <w:bCs/>
          <w:sz w:val="24"/>
        </w:rPr>
        <w:t>询价供应商须知前附表</w:t>
      </w:r>
      <w:r>
        <w:rPr>
          <w:rFonts w:hint="eastAsia" w:ascii="宋体" w:hAnsi="宋体"/>
          <w:sz w:val="24"/>
        </w:rPr>
        <w:t>第</w:t>
      </w:r>
      <w:r>
        <w:rPr>
          <w:rFonts w:ascii="宋体" w:hAnsi="宋体"/>
          <w:sz w:val="24"/>
        </w:rPr>
        <w:t>4</w:t>
      </w:r>
      <w:r>
        <w:rPr>
          <w:rFonts w:hint="eastAsia" w:ascii="宋体" w:hAnsi="宋体"/>
          <w:sz w:val="24"/>
        </w:rPr>
        <w:t>项所规定的递交询价响应文件截止期之后开始生效，在</w:t>
      </w:r>
      <w:r>
        <w:rPr>
          <w:rFonts w:hint="eastAsia" w:ascii="宋体" w:hAnsi="宋体"/>
          <w:bCs/>
          <w:sz w:val="24"/>
        </w:rPr>
        <w:t>询价供应商须知前附表</w:t>
      </w:r>
      <w:r>
        <w:rPr>
          <w:rFonts w:hint="eastAsia" w:ascii="宋体" w:hAnsi="宋体"/>
          <w:sz w:val="24"/>
        </w:rPr>
        <w:t>第</w:t>
      </w:r>
      <w:r>
        <w:rPr>
          <w:rFonts w:ascii="宋体" w:hAnsi="宋体"/>
          <w:sz w:val="24"/>
        </w:rPr>
        <w:t>3</w:t>
      </w:r>
      <w:r>
        <w:rPr>
          <w:rFonts w:hint="eastAsia" w:ascii="宋体" w:hAnsi="宋体"/>
          <w:sz w:val="24"/>
        </w:rPr>
        <w:t>项所规定的期限内保持有效。有效期不足将导致其询价响应文件被拒绝。</w:t>
      </w:r>
    </w:p>
    <w:p>
      <w:pPr>
        <w:spacing w:line="360" w:lineRule="auto"/>
        <w:ind w:firstLine="480" w:firstLineChars="200"/>
        <w:rPr>
          <w:rFonts w:ascii="宋体"/>
          <w:sz w:val="24"/>
        </w:rPr>
      </w:pPr>
      <w:r>
        <w:rPr>
          <w:rFonts w:ascii="宋体" w:hAnsi="宋体"/>
          <w:sz w:val="24"/>
        </w:rPr>
        <w:t>11.2</w:t>
      </w:r>
      <w:r>
        <w:rPr>
          <w:rFonts w:hint="eastAsia" w:ascii="宋体" w:hAnsi="宋体"/>
          <w:sz w:val="24"/>
        </w:rPr>
        <w:t>特殊情况下招标代理机构可于询价响应有效期满之前书面要求询价供应商同意延长有效期，询价供应商应在招标代理机构规定的期限内以书面形式予以答复。询价供应商可以拒绝上述要求而其询价保证金可按规定予以退还。询价供应商答复不明确或者逾期未答复的，均视为拒绝上述要求。对于接受该要求的询价供应商，既不要求也不允许其修改询价响应文件，但将要求其相应延长询价保证金有效期，有关退还和不予退还询价保证金的规定在询价响应有效期延长期内继续有效。</w:t>
      </w:r>
    </w:p>
    <w:p>
      <w:pPr>
        <w:spacing w:line="360" w:lineRule="auto"/>
        <w:ind w:firstLine="480" w:firstLineChars="200"/>
        <w:rPr>
          <w:rFonts w:ascii="宋体"/>
          <w:sz w:val="24"/>
        </w:rPr>
      </w:pPr>
      <w:r>
        <w:rPr>
          <w:rFonts w:ascii="宋体" w:hAnsi="宋体"/>
          <w:sz w:val="24"/>
        </w:rPr>
        <w:t xml:space="preserve">12. </w:t>
      </w:r>
      <w:r>
        <w:rPr>
          <w:rFonts w:hint="eastAsia" w:ascii="宋体" w:hAnsi="宋体"/>
          <w:sz w:val="24"/>
        </w:rPr>
        <w:t>询价保证金</w:t>
      </w:r>
    </w:p>
    <w:p>
      <w:pPr>
        <w:spacing w:line="360" w:lineRule="auto"/>
        <w:ind w:firstLine="480" w:firstLineChars="200"/>
        <w:rPr>
          <w:rFonts w:ascii="宋体"/>
          <w:sz w:val="24"/>
        </w:rPr>
      </w:pPr>
      <w:r>
        <w:rPr>
          <w:rFonts w:ascii="宋体" w:hAnsi="宋体"/>
          <w:sz w:val="24"/>
        </w:rPr>
        <w:t xml:space="preserve">12.1 </w:t>
      </w:r>
      <w:r>
        <w:rPr>
          <w:rFonts w:hint="eastAsia" w:ascii="宋体" w:hAnsi="宋体"/>
          <w:sz w:val="24"/>
        </w:rPr>
        <w:t>询价保证金为询价响应文件的组成部分之一。</w:t>
      </w:r>
    </w:p>
    <w:p>
      <w:pPr>
        <w:spacing w:line="360" w:lineRule="auto"/>
        <w:ind w:firstLine="480" w:firstLineChars="200"/>
        <w:rPr>
          <w:rFonts w:ascii="宋体"/>
          <w:sz w:val="24"/>
        </w:rPr>
      </w:pPr>
      <w:r>
        <w:rPr>
          <w:rFonts w:ascii="宋体" w:hAnsi="宋体"/>
          <w:sz w:val="24"/>
        </w:rPr>
        <w:t>12.2</w:t>
      </w:r>
      <w:r>
        <w:rPr>
          <w:rFonts w:hint="eastAsia" w:ascii="宋体" w:hAnsi="宋体"/>
          <w:sz w:val="24"/>
        </w:rPr>
        <w:t>询价供应商应按须知前附表第</w:t>
      </w:r>
      <w:r>
        <w:rPr>
          <w:rFonts w:ascii="宋体" w:hAnsi="宋体"/>
          <w:sz w:val="24"/>
        </w:rPr>
        <w:t>5</w:t>
      </w:r>
      <w:r>
        <w:rPr>
          <w:rFonts w:hint="eastAsia" w:ascii="宋体" w:hAnsi="宋体"/>
          <w:sz w:val="24"/>
        </w:rPr>
        <w:t>项要求缴纳询价保证金。</w:t>
      </w:r>
    </w:p>
    <w:p>
      <w:pPr>
        <w:spacing w:line="360" w:lineRule="auto"/>
        <w:ind w:firstLine="480" w:firstLineChars="200"/>
        <w:rPr>
          <w:rFonts w:ascii="宋体"/>
          <w:sz w:val="24"/>
        </w:rPr>
      </w:pPr>
      <w:r>
        <w:rPr>
          <w:rFonts w:ascii="宋体" w:hAnsi="宋体"/>
          <w:sz w:val="24"/>
        </w:rPr>
        <w:t xml:space="preserve">12.3 </w:t>
      </w:r>
      <w:r>
        <w:rPr>
          <w:rFonts w:hint="eastAsia" w:ascii="宋体" w:hAnsi="宋体"/>
          <w:sz w:val="24"/>
        </w:rPr>
        <w:t>询价保证金用于保护本次询价活动免受询价供应商的行为而引起的风险。</w:t>
      </w:r>
    </w:p>
    <w:p>
      <w:pPr>
        <w:spacing w:line="360" w:lineRule="auto"/>
        <w:ind w:firstLine="480" w:firstLineChars="200"/>
        <w:rPr>
          <w:rFonts w:ascii="宋体"/>
          <w:sz w:val="24"/>
        </w:rPr>
      </w:pPr>
      <w:r>
        <w:rPr>
          <w:rFonts w:ascii="宋体" w:hAnsi="宋体"/>
          <w:sz w:val="24"/>
        </w:rPr>
        <w:t xml:space="preserve">12.4 </w:t>
      </w:r>
      <w:r>
        <w:rPr>
          <w:rFonts w:hint="eastAsia" w:ascii="宋体" w:hAnsi="宋体"/>
          <w:sz w:val="24"/>
        </w:rPr>
        <w:t>询价保证金以电汇、转账形式提交。</w:t>
      </w:r>
    </w:p>
    <w:p>
      <w:pPr>
        <w:spacing w:line="360" w:lineRule="auto"/>
        <w:ind w:firstLine="480" w:firstLineChars="200"/>
        <w:rPr>
          <w:rFonts w:ascii="宋体"/>
          <w:sz w:val="24"/>
        </w:rPr>
      </w:pPr>
      <w:r>
        <w:rPr>
          <w:rFonts w:ascii="宋体" w:hAnsi="宋体"/>
          <w:sz w:val="24"/>
        </w:rPr>
        <w:t xml:space="preserve">12.5 </w:t>
      </w:r>
      <w:r>
        <w:rPr>
          <w:rFonts w:hint="eastAsia" w:ascii="宋体" w:hAnsi="宋体"/>
          <w:sz w:val="24"/>
        </w:rPr>
        <w:t>未按规定缴交询价保证金的，其询价将被拒绝。</w:t>
      </w:r>
    </w:p>
    <w:p>
      <w:pPr>
        <w:spacing w:line="360" w:lineRule="auto"/>
        <w:ind w:firstLine="480" w:firstLineChars="200"/>
        <w:rPr>
          <w:rFonts w:ascii="宋体"/>
          <w:sz w:val="24"/>
        </w:rPr>
      </w:pPr>
      <w:bookmarkStart w:id="38" w:name="_Toc30711"/>
      <w:r>
        <w:rPr>
          <w:rFonts w:ascii="宋体" w:hAnsi="宋体"/>
          <w:sz w:val="24"/>
        </w:rPr>
        <w:t>12.6</w:t>
      </w:r>
      <w:r>
        <w:rPr>
          <w:rFonts w:hint="eastAsia" w:ascii="宋体" w:hAnsi="宋体"/>
          <w:sz w:val="24"/>
          <w:lang w:val="en-US" w:eastAsia="zh-CN"/>
        </w:rPr>
        <w:t>采购人</w:t>
      </w:r>
      <w:r>
        <w:rPr>
          <w:rFonts w:hint="eastAsia" w:ascii="宋体" w:hAnsi="宋体"/>
          <w:sz w:val="24"/>
        </w:rPr>
        <w:t>将在成交通知书发出之日起五个工作日内予以原额无息退还成交供应商以外的询价供应商的询价保证金。</w:t>
      </w:r>
      <w:bookmarkEnd w:id="38"/>
    </w:p>
    <w:p>
      <w:pPr>
        <w:spacing w:line="360" w:lineRule="auto"/>
        <w:ind w:firstLine="480" w:firstLineChars="200"/>
        <w:rPr>
          <w:rFonts w:ascii="宋体"/>
          <w:sz w:val="24"/>
        </w:rPr>
      </w:pPr>
      <w:r>
        <w:rPr>
          <w:rFonts w:ascii="宋体" w:hAnsi="宋体"/>
          <w:sz w:val="24"/>
        </w:rPr>
        <w:t>12.7</w:t>
      </w:r>
      <w:r>
        <w:rPr>
          <w:rFonts w:hint="eastAsia" w:ascii="宋体" w:hAnsi="宋体"/>
          <w:sz w:val="24"/>
        </w:rPr>
        <w:t>询价保证金的有效期为询价响应有效期满后的</w:t>
      </w:r>
      <w:r>
        <w:rPr>
          <w:rFonts w:ascii="宋体" w:hAnsi="宋体"/>
          <w:sz w:val="24"/>
        </w:rPr>
        <w:t>30</w:t>
      </w:r>
      <w:r>
        <w:rPr>
          <w:rFonts w:hint="eastAsia" w:ascii="宋体" w:hAnsi="宋体"/>
          <w:sz w:val="24"/>
        </w:rPr>
        <w:t>个日历日。</w:t>
      </w:r>
    </w:p>
    <w:p>
      <w:pPr>
        <w:spacing w:line="360" w:lineRule="auto"/>
        <w:ind w:firstLine="480" w:firstLineChars="200"/>
        <w:rPr>
          <w:rFonts w:ascii="宋体"/>
          <w:sz w:val="24"/>
        </w:rPr>
      </w:pPr>
      <w:r>
        <w:rPr>
          <w:rFonts w:ascii="宋体" w:hAnsi="宋体"/>
          <w:sz w:val="24"/>
        </w:rPr>
        <w:t>12.8</w:t>
      </w:r>
      <w:r>
        <w:rPr>
          <w:rFonts w:hint="eastAsia" w:ascii="宋体" w:hAnsi="宋体"/>
          <w:sz w:val="24"/>
        </w:rPr>
        <w:t>发生以下情况之一的，询价保证金将不予退还：</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）供应商在提交响应文件截止时间后撤回响应文件的；</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）供应商在响应文件中提供虚假材料的；</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）除因不可抗力、询价通知书认可的情形以外，成交供应商不与采购人签订合同的；</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）供应商与采购人、其他供应商或者采购代理机构恶意串通的；</w:t>
      </w:r>
    </w:p>
    <w:p>
      <w:pPr>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）采购文件规定的其他情形。</w:t>
      </w:r>
    </w:p>
    <w:p>
      <w:pPr>
        <w:spacing w:line="360" w:lineRule="auto"/>
        <w:ind w:firstLine="480" w:firstLineChars="200"/>
        <w:rPr>
          <w:rFonts w:ascii="宋体"/>
          <w:sz w:val="24"/>
        </w:rPr>
      </w:pPr>
      <w:r>
        <w:rPr>
          <w:rFonts w:hint="eastAsia" w:ascii="宋体" w:hAnsi="宋体"/>
          <w:sz w:val="24"/>
        </w:rPr>
        <w:t>上述不予退还询价保证金的情况给采购单位或招标代理机构造成损失的，还要承担赔偿责任。</w:t>
      </w:r>
    </w:p>
    <w:p>
      <w:pPr>
        <w:spacing w:line="360" w:lineRule="auto"/>
        <w:ind w:firstLine="480" w:firstLineChars="200"/>
        <w:rPr>
          <w:rFonts w:ascii="宋体"/>
          <w:sz w:val="24"/>
        </w:rPr>
      </w:pPr>
      <w:r>
        <w:rPr>
          <w:rFonts w:ascii="宋体" w:hAnsi="宋体"/>
          <w:sz w:val="24"/>
        </w:rPr>
        <w:t>12.9</w:t>
      </w:r>
      <w:r>
        <w:rPr>
          <w:rFonts w:hint="eastAsia" w:ascii="宋体" w:hAnsi="宋体"/>
          <w:sz w:val="24"/>
        </w:rPr>
        <w:t>询价供应商有下列情形之一的，其询价保证金将不予退还，并报请须知前附表所列行政监督管理部门同意，列入不良行为记录名单，三年内禁止参加</w:t>
      </w:r>
      <w:r>
        <w:rPr>
          <w:rFonts w:hint="eastAsia" w:ascii="宋体" w:hAnsi="宋体"/>
          <w:sz w:val="24"/>
          <w:lang w:eastAsia="zh-CN"/>
        </w:rPr>
        <w:t>龙岩城市发展集团有限公司</w:t>
      </w:r>
      <w:r>
        <w:rPr>
          <w:rFonts w:hint="eastAsia" w:ascii="宋体" w:hAnsi="宋体"/>
          <w:sz w:val="24"/>
        </w:rPr>
        <w:t>活动，并予以公告。情节严重的，报请其他有权机关处理。</w:t>
      </w:r>
    </w:p>
    <w:p>
      <w:pPr>
        <w:tabs>
          <w:tab w:val="center" w:pos="4776"/>
        </w:tabs>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）提供虚假材料谋取成交的；</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）采取不正当手段诋毁、排挤其他供应商的；</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）与采购单位或招标代理机构、其他询价供应商恶意串通的。</w:t>
      </w:r>
    </w:p>
    <w:p>
      <w:pPr>
        <w:spacing w:line="360" w:lineRule="auto"/>
        <w:ind w:firstLine="480" w:firstLineChars="200"/>
        <w:rPr>
          <w:rFonts w:ascii="宋体"/>
          <w:sz w:val="24"/>
        </w:rPr>
      </w:pPr>
      <w:r>
        <w:rPr>
          <w:rFonts w:ascii="宋体" w:hAnsi="宋体"/>
          <w:sz w:val="24"/>
        </w:rPr>
        <w:t>12.10</w:t>
      </w:r>
      <w:r>
        <w:rPr>
          <w:rFonts w:hint="eastAsia" w:ascii="宋体" w:hAnsi="宋体"/>
          <w:sz w:val="24"/>
        </w:rPr>
        <w:t>成交供应商放弃成交，其询价保证金不予退还，同时应按相关法律、规章、规范性文件的规定承担相应的法律责任。</w:t>
      </w:r>
    </w:p>
    <w:p>
      <w:pPr>
        <w:spacing w:line="360" w:lineRule="auto"/>
        <w:ind w:firstLine="480" w:firstLineChars="200"/>
        <w:rPr>
          <w:rFonts w:ascii="宋体"/>
          <w:sz w:val="24"/>
        </w:rPr>
      </w:pPr>
      <w:r>
        <w:rPr>
          <w:rFonts w:ascii="宋体" w:hAnsi="宋体"/>
          <w:sz w:val="24"/>
        </w:rPr>
        <w:t xml:space="preserve">13. </w:t>
      </w:r>
      <w:r>
        <w:rPr>
          <w:rFonts w:hint="eastAsia" w:ascii="宋体" w:hAnsi="宋体"/>
          <w:sz w:val="24"/>
        </w:rPr>
        <w:t>询价响应文件的格式</w:t>
      </w:r>
    </w:p>
    <w:p>
      <w:pPr>
        <w:spacing w:line="360" w:lineRule="auto"/>
        <w:ind w:firstLine="480" w:firstLineChars="200"/>
        <w:rPr>
          <w:rFonts w:ascii="宋体"/>
          <w:b/>
          <w:sz w:val="24"/>
        </w:rPr>
      </w:pPr>
      <w:r>
        <w:rPr>
          <w:rFonts w:ascii="宋体" w:hAnsi="宋体"/>
          <w:sz w:val="24"/>
        </w:rPr>
        <w:t>13.1</w:t>
      </w:r>
      <w:r>
        <w:rPr>
          <w:rFonts w:hint="eastAsia" w:ascii="宋体" w:hAnsi="宋体"/>
          <w:sz w:val="24"/>
        </w:rPr>
        <w:t>询价供应商须编制由本须知第</w:t>
      </w:r>
      <w:r>
        <w:rPr>
          <w:rFonts w:ascii="宋体" w:hAnsi="宋体"/>
          <w:sz w:val="24"/>
        </w:rPr>
        <w:t>10</w:t>
      </w:r>
      <w:r>
        <w:rPr>
          <w:rFonts w:hint="eastAsia" w:ascii="宋体" w:hAnsi="宋体"/>
          <w:sz w:val="24"/>
        </w:rPr>
        <w:t>条规定文件组成的</w:t>
      </w:r>
      <w:r>
        <w:rPr>
          <w:rFonts w:hint="eastAsia" w:ascii="宋体" w:hAnsi="宋体"/>
          <w:b/>
          <w:sz w:val="24"/>
        </w:rPr>
        <w:t>询价响应文件正本一份，副本</w:t>
      </w:r>
      <w:r>
        <w:rPr>
          <w:rFonts w:hint="eastAsia" w:ascii="宋体" w:hAnsi="宋体"/>
          <w:b/>
          <w:sz w:val="24"/>
          <w:lang w:val="en-US" w:eastAsia="zh-CN"/>
        </w:rPr>
        <w:t>贰</w:t>
      </w:r>
      <w:r>
        <w:rPr>
          <w:rFonts w:hint="eastAsia" w:ascii="宋体" w:hAnsi="宋体"/>
          <w:b/>
          <w:sz w:val="24"/>
        </w:rPr>
        <w:t>份；</w:t>
      </w:r>
      <w:r>
        <w:rPr>
          <w:rFonts w:hint="eastAsia" w:ascii="宋体" w:hAnsi="宋体"/>
          <w:sz w:val="24"/>
        </w:rPr>
        <w:t>正本用</w:t>
      </w:r>
      <w:r>
        <w:rPr>
          <w:rFonts w:ascii="宋体" w:hAnsi="宋体"/>
          <w:sz w:val="24"/>
        </w:rPr>
        <w:t>A4</w:t>
      </w:r>
      <w:r>
        <w:rPr>
          <w:rFonts w:hint="eastAsia" w:ascii="宋体" w:hAnsi="宋体"/>
          <w:sz w:val="24"/>
        </w:rPr>
        <w:t>幅面纸张打印装订，副本可以用正本的完整复印件，并在封面标明“正本”、“副本”字样。正本与副本如有不一致，则以正本为准。</w:t>
      </w:r>
    </w:p>
    <w:p>
      <w:pPr>
        <w:spacing w:line="360" w:lineRule="auto"/>
        <w:ind w:firstLine="480" w:firstLineChars="200"/>
        <w:rPr>
          <w:rFonts w:ascii="黑体" w:hAnsi="宋体" w:eastAsia="黑体"/>
          <w:b/>
          <w:sz w:val="24"/>
        </w:rPr>
      </w:pPr>
      <w:r>
        <w:rPr>
          <w:rFonts w:hint="eastAsia" w:ascii="嫤疓B2312" w:hAnsi="宋体" w:eastAsia="嫤疓B2312" w:cs="宋体"/>
          <w:kern w:val="0"/>
          <w:sz w:val="24"/>
        </w:rPr>
        <w:t>参加询价采购活动的供应商，应当按照询价通知书的规定一次报出不得更改的价格。</w:t>
      </w:r>
    </w:p>
    <w:p>
      <w:pPr>
        <w:spacing w:line="360" w:lineRule="auto"/>
        <w:ind w:firstLine="480" w:firstLineChars="200"/>
        <w:rPr>
          <w:rFonts w:ascii="宋体"/>
          <w:sz w:val="24"/>
        </w:rPr>
      </w:pPr>
      <w:r>
        <w:rPr>
          <w:rFonts w:ascii="宋体" w:hAnsi="宋体"/>
          <w:sz w:val="24"/>
        </w:rPr>
        <w:t>13.2</w:t>
      </w:r>
      <w:r>
        <w:rPr>
          <w:rFonts w:hint="eastAsia" w:ascii="宋体" w:hAnsi="宋体"/>
          <w:sz w:val="24"/>
        </w:rPr>
        <w:t>询价响应文件应由询价供应商的法定代表人或者其授权代表签字并加盖公章，如由后者签字，应提供“法定代表人授权委托书”。</w:t>
      </w:r>
    </w:p>
    <w:p>
      <w:pPr>
        <w:spacing w:line="360" w:lineRule="auto"/>
        <w:ind w:firstLine="480" w:firstLineChars="200"/>
        <w:rPr>
          <w:rFonts w:ascii="宋体"/>
          <w:sz w:val="24"/>
        </w:rPr>
      </w:pPr>
      <w:r>
        <w:rPr>
          <w:rFonts w:ascii="宋体" w:hAnsi="宋体"/>
          <w:sz w:val="24"/>
        </w:rPr>
        <w:t>13.3</w:t>
      </w:r>
      <w:r>
        <w:rPr>
          <w:rFonts w:hint="eastAsia" w:ascii="宋体" w:hAnsi="宋体"/>
          <w:sz w:val="24"/>
        </w:rPr>
        <w:t>除非有另外的规定或许可，询价响应文件使用货币为人民币。</w:t>
      </w:r>
    </w:p>
    <w:p>
      <w:pPr>
        <w:spacing w:line="360" w:lineRule="auto"/>
        <w:ind w:firstLine="480" w:firstLineChars="200"/>
        <w:rPr>
          <w:rFonts w:ascii="宋体"/>
          <w:sz w:val="24"/>
        </w:rPr>
      </w:pPr>
      <w:r>
        <w:rPr>
          <w:rFonts w:ascii="宋体" w:hAnsi="宋体"/>
          <w:sz w:val="24"/>
        </w:rPr>
        <w:t>13.4</w:t>
      </w:r>
      <w:r>
        <w:rPr>
          <w:rFonts w:hint="eastAsia" w:ascii="宋体" w:hAnsi="宋体"/>
          <w:sz w:val="24"/>
        </w:rPr>
        <w:t>询价供应商应提交证明其拟供货物符合询价通知书要求的技术响应文件，该文件可以是文字资料、图纸和数据，并须提供货物主要技术性能的详细描述。</w:t>
      </w:r>
      <w:r>
        <w:rPr>
          <w:rFonts w:ascii="宋体" w:hAnsi="宋体"/>
          <w:sz w:val="24"/>
        </w:rPr>
        <w:t xml:space="preserve">                                  </w:t>
      </w:r>
    </w:p>
    <w:p>
      <w:pPr>
        <w:spacing w:line="360" w:lineRule="auto"/>
        <w:ind w:firstLine="480" w:firstLineChars="200"/>
        <w:rPr>
          <w:rFonts w:ascii="宋体"/>
          <w:sz w:val="24"/>
        </w:rPr>
      </w:pPr>
      <w:r>
        <w:rPr>
          <w:rFonts w:ascii="宋体" w:hAnsi="宋体"/>
          <w:sz w:val="24"/>
        </w:rPr>
        <w:t>13</w:t>
      </w:r>
      <w:r>
        <w:rPr>
          <w:rFonts w:ascii="宋体"/>
          <w:sz w:val="24"/>
        </w:rPr>
        <w:t>.</w:t>
      </w:r>
      <w:r>
        <w:rPr>
          <w:rFonts w:ascii="宋体" w:hAnsi="宋体"/>
          <w:sz w:val="24"/>
        </w:rPr>
        <w:t>5</w:t>
      </w:r>
      <w:r>
        <w:rPr>
          <w:rFonts w:hint="eastAsia" w:ascii="宋体" w:hAnsi="宋体"/>
          <w:sz w:val="24"/>
        </w:rPr>
        <w:t>询价响应文件的正本和全部副本均应使用不能擦去的墨料或墨水打印、书写或复印，并由法定代表人或其授权代表签署，盖询价供应商公章。</w:t>
      </w:r>
    </w:p>
    <w:p>
      <w:pPr>
        <w:spacing w:line="360" w:lineRule="auto"/>
        <w:ind w:firstLine="480" w:firstLineChars="200"/>
        <w:rPr>
          <w:rFonts w:ascii="宋体"/>
          <w:sz w:val="24"/>
        </w:rPr>
      </w:pPr>
      <w:r>
        <w:rPr>
          <w:rFonts w:ascii="宋体" w:hAnsi="宋体"/>
          <w:sz w:val="24"/>
        </w:rPr>
        <w:t>13</w:t>
      </w:r>
      <w:r>
        <w:rPr>
          <w:rFonts w:ascii="宋体"/>
          <w:sz w:val="24"/>
        </w:rPr>
        <w:t>.</w:t>
      </w:r>
      <w:r>
        <w:rPr>
          <w:rFonts w:ascii="宋体" w:hAnsi="宋体"/>
          <w:sz w:val="24"/>
        </w:rPr>
        <w:t>6</w:t>
      </w:r>
      <w:r>
        <w:rPr>
          <w:rFonts w:hint="eastAsia" w:ascii="宋体" w:hAnsi="宋体"/>
          <w:sz w:val="24"/>
        </w:rPr>
        <w:t>全套询价响应文件应无涂改和行间插字，除非这些改动是根据招标代理机构的指示进行的，或者是为改正询价供应商造成的必须修改的错误而进行的。有改动时，修改处应由授权代表签署证明或加盖校正章。</w:t>
      </w:r>
      <w:r>
        <w:rPr>
          <w:rFonts w:ascii="宋体" w:hAnsi="宋体"/>
          <w:sz w:val="24"/>
        </w:rPr>
        <w:t xml:space="preserve"> </w:t>
      </w:r>
    </w:p>
    <w:p>
      <w:pPr>
        <w:spacing w:line="360" w:lineRule="auto"/>
        <w:ind w:firstLine="482" w:firstLineChars="200"/>
        <w:rPr>
          <w:rFonts w:ascii="宋体"/>
          <w:b/>
          <w:sz w:val="24"/>
        </w:rPr>
      </w:pPr>
      <w:r>
        <w:rPr>
          <w:rFonts w:ascii="宋体" w:hAnsi="宋体"/>
          <w:b/>
          <w:sz w:val="24"/>
        </w:rPr>
        <w:t>13.7</w:t>
      </w:r>
      <w:r>
        <w:rPr>
          <w:rFonts w:hint="eastAsia" w:ascii="宋体" w:hAnsi="宋体"/>
          <w:b/>
          <w:sz w:val="24"/>
        </w:rPr>
        <w:t>未按本须知规定的格式填写询价响应文件、询价响应文件关键字迹模糊不清的，其询价将被拒绝。</w:t>
      </w:r>
    </w:p>
    <w:p>
      <w:pPr>
        <w:spacing w:line="360" w:lineRule="auto"/>
        <w:ind w:firstLine="482" w:firstLineChars="200"/>
        <w:rPr>
          <w:rFonts w:ascii="宋体"/>
          <w:b/>
          <w:sz w:val="24"/>
        </w:rPr>
      </w:pPr>
      <w:r>
        <w:rPr>
          <w:rFonts w:ascii="宋体" w:hAnsi="宋体"/>
          <w:b/>
          <w:sz w:val="24"/>
        </w:rPr>
        <w:t>13.8</w:t>
      </w:r>
      <w:r>
        <w:rPr>
          <w:rFonts w:hint="eastAsia" w:ascii="宋体" w:hAnsi="宋体"/>
          <w:b/>
          <w:sz w:val="24"/>
        </w:rPr>
        <w:t>响应文件提供的复印件应当与原件一致，并加盖供应商公章。</w:t>
      </w:r>
    </w:p>
    <w:p>
      <w:pPr>
        <w:pStyle w:val="5"/>
        <w:numPr>
          <w:ilvl w:val="1"/>
          <w:numId w:val="0"/>
        </w:numPr>
      </w:pPr>
      <w:bookmarkStart w:id="39" w:name="_Toc4087"/>
      <w:bookmarkStart w:id="40" w:name="_Toc11810"/>
      <w:bookmarkStart w:id="41" w:name="_Toc2226"/>
      <w:r>
        <w:rPr>
          <w:rFonts w:hint="eastAsia"/>
        </w:rPr>
        <w:t>四、</w:t>
      </w:r>
      <w:r>
        <w:t xml:space="preserve"> </w:t>
      </w:r>
      <w:r>
        <w:rPr>
          <w:rFonts w:hint="eastAsia"/>
        </w:rPr>
        <w:t>询价响应文件的递交</w:t>
      </w:r>
      <w:bookmarkEnd w:id="39"/>
      <w:bookmarkEnd w:id="40"/>
      <w:bookmarkEnd w:id="41"/>
    </w:p>
    <w:p>
      <w:pPr>
        <w:spacing w:line="360" w:lineRule="auto"/>
        <w:ind w:firstLine="480" w:firstLineChars="200"/>
        <w:rPr>
          <w:rFonts w:ascii="宋体"/>
          <w:sz w:val="24"/>
        </w:rPr>
      </w:pPr>
      <w:r>
        <w:rPr>
          <w:rFonts w:ascii="宋体" w:hAnsi="宋体"/>
          <w:sz w:val="24"/>
        </w:rPr>
        <w:t>14.</w:t>
      </w:r>
      <w:r>
        <w:rPr>
          <w:rFonts w:hint="eastAsia" w:ascii="宋体" w:hAnsi="宋体"/>
          <w:sz w:val="24"/>
        </w:rPr>
        <w:t>询价响应文件的密封、标记和递交</w:t>
      </w:r>
    </w:p>
    <w:p>
      <w:pPr>
        <w:spacing w:line="360" w:lineRule="auto"/>
        <w:ind w:firstLine="480" w:firstLineChars="200"/>
        <w:rPr>
          <w:rFonts w:ascii="宋体"/>
          <w:sz w:val="24"/>
        </w:rPr>
      </w:pPr>
      <w:r>
        <w:rPr>
          <w:rFonts w:ascii="宋体" w:hAnsi="宋体"/>
          <w:sz w:val="24"/>
        </w:rPr>
        <w:t xml:space="preserve">14.1 </w:t>
      </w:r>
      <w:r>
        <w:rPr>
          <w:rFonts w:hint="eastAsia" w:ascii="宋体" w:hAnsi="宋体"/>
          <w:sz w:val="24"/>
        </w:rPr>
        <w:t>询价供应商应将询价响应文件用密封袋密封，并标明询价项目编号、项目名称、询价供应商名称及“正本”、“副本”字样。</w:t>
      </w:r>
    </w:p>
    <w:p>
      <w:pPr>
        <w:spacing w:line="360" w:lineRule="auto"/>
        <w:ind w:firstLine="480" w:firstLineChars="200"/>
        <w:rPr>
          <w:rFonts w:ascii="宋体"/>
          <w:sz w:val="24"/>
        </w:rPr>
      </w:pPr>
      <w:r>
        <w:rPr>
          <w:rFonts w:ascii="宋体" w:hAnsi="宋体"/>
          <w:sz w:val="24"/>
        </w:rPr>
        <w:t>14.2</w:t>
      </w:r>
      <w:r>
        <w:rPr>
          <w:rFonts w:hint="eastAsia" w:ascii="宋体" w:hAnsi="宋体"/>
          <w:sz w:val="24"/>
        </w:rPr>
        <w:t>每一密封袋密封处应注明“于</w:t>
      </w:r>
      <w:r>
        <w:rPr>
          <w:rFonts w:hint="eastAsia" w:ascii="宋体" w:hAnsi="宋体"/>
          <w:sz w:val="24"/>
          <w:lang w:val="en-US" w:eastAsia="zh-CN"/>
        </w:rPr>
        <w:t>2022年11月25日09：00</w:t>
      </w:r>
      <w:r>
        <w:rPr>
          <w:rFonts w:ascii="宋体" w:hAnsi="宋体"/>
          <w:sz w:val="24"/>
        </w:rPr>
        <w:t xml:space="preserve"> </w:t>
      </w:r>
      <w:r>
        <w:rPr>
          <w:rFonts w:hint="eastAsia" w:ascii="宋体" w:hAnsi="宋体"/>
          <w:sz w:val="24"/>
        </w:rPr>
        <w:t>之前（指询价邀请中规定的询价日期及时间）不准启封”的字样，加盖询价供应商公章或法定代表人、授权代表签字或盖章。</w:t>
      </w:r>
    </w:p>
    <w:p>
      <w:pPr>
        <w:spacing w:line="360" w:lineRule="auto"/>
        <w:ind w:firstLine="480" w:firstLineChars="200"/>
        <w:rPr>
          <w:rFonts w:ascii="宋体"/>
          <w:sz w:val="24"/>
        </w:rPr>
      </w:pPr>
      <w:r>
        <w:rPr>
          <w:rFonts w:ascii="宋体" w:hAnsi="宋体"/>
          <w:sz w:val="24"/>
        </w:rPr>
        <w:t>14.3</w:t>
      </w:r>
      <w:r>
        <w:rPr>
          <w:rFonts w:hint="eastAsia" w:ascii="宋体" w:hAnsi="宋体"/>
          <w:sz w:val="24"/>
        </w:rPr>
        <w:t>询价响应文件未按上述规定密封、签字或盖章的为无效询价响应文件，其询价将被拒绝。</w:t>
      </w:r>
    </w:p>
    <w:p>
      <w:pPr>
        <w:spacing w:line="360" w:lineRule="auto"/>
        <w:ind w:firstLine="480" w:firstLineChars="200"/>
        <w:rPr>
          <w:rFonts w:ascii="宋体"/>
          <w:sz w:val="24"/>
        </w:rPr>
      </w:pPr>
      <w:r>
        <w:rPr>
          <w:rFonts w:ascii="宋体" w:hAnsi="宋体"/>
          <w:sz w:val="24"/>
        </w:rPr>
        <w:t>14.4</w:t>
      </w:r>
      <w:r>
        <w:rPr>
          <w:rFonts w:hint="eastAsia" w:ascii="宋体" w:hAnsi="宋体"/>
          <w:sz w:val="24"/>
        </w:rPr>
        <w:t>询价响应文件须由专人按询价供应商须知前附表注明的地址送至接收人。</w:t>
      </w:r>
    </w:p>
    <w:p>
      <w:pPr>
        <w:spacing w:line="360" w:lineRule="auto"/>
        <w:ind w:firstLine="480" w:firstLineChars="200"/>
        <w:rPr>
          <w:rFonts w:ascii="宋体"/>
          <w:sz w:val="24"/>
        </w:rPr>
      </w:pPr>
      <w:r>
        <w:rPr>
          <w:rFonts w:ascii="宋体" w:hAnsi="宋体"/>
          <w:sz w:val="24"/>
        </w:rPr>
        <w:t>14.5</w:t>
      </w:r>
      <w:r>
        <w:rPr>
          <w:rFonts w:hint="eastAsia" w:ascii="宋体" w:hAnsi="宋体"/>
          <w:sz w:val="24"/>
        </w:rPr>
        <w:t>询价响应文件应在询价邀请中规定的截止时间前送达，迟到的询价响应文件为无效询价响应文件</w:t>
      </w:r>
      <w:r>
        <w:rPr>
          <w:rFonts w:ascii="宋体" w:hAnsi="宋体"/>
          <w:sz w:val="24"/>
        </w:rPr>
        <w:t xml:space="preserve">, </w:t>
      </w:r>
      <w:r>
        <w:rPr>
          <w:rFonts w:hint="eastAsia" w:ascii="宋体" w:hAnsi="宋体"/>
          <w:sz w:val="24"/>
        </w:rPr>
        <w:t>将被拒收。</w:t>
      </w:r>
    </w:p>
    <w:p>
      <w:pPr>
        <w:spacing w:line="360" w:lineRule="auto"/>
        <w:ind w:firstLine="480" w:firstLineChars="200"/>
        <w:rPr>
          <w:rFonts w:ascii="宋体"/>
          <w:sz w:val="24"/>
          <w:szCs w:val="18"/>
        </w:rPr>
      </w:pPr>
      <w:r>
        <w:rPr>
          <w:rFonts w:ascii="宋体" w:hAnsi="宋体"/>
          <w:sz w:val="24"/>
        </w:rPr>
        <w:t>14.6</w:t>
      </w:r>
      <w:r>
        <w:rPr>
          <w:rFonts w:hint="eastAsia" w:ascii="嫤疓B2312" w:hAnsi="宋体" w:eastAsia="嫤疓B2312" w:cs="宋体"/>
          <w:kern w:val="0"/>
          <w:sz w:val="24"/>
        </w:rPr>
        <w:t>供应商在提交响应文件截止时间前，可以对所提交的响应文件进行补充、修改或者撤回，并书面通知采购人、采购代理机构。补充、修改的内容</w:t>
      </w:r>
      <w:r>
        <w:rPr>
          <w:rFonts w:hint="eastAsia" w:ascii="宋体" w:hAnsi="宋体"/>
          <w:sz w:val="24"/>
          <w:szCs w:val="18"/>
        </w:rPr>
        <w:t>和撤回通知应当按本须知要求签署、盖章、密封，并作为询价响应文件的组成部分</w:t>
      </w:r>
      <w:r>
        <w:rPr>
          <w:rFonts w:hint="eastAsia" w:ascii="嫤疓B2312" w:hAnsi="宋体" w:eastAsia="嫤疓B2312" w:cs="宋体"/>
          <w:kern w:val="0"/>
          <w:sz w:val="24"/>
        </w:rPr>
        <w:t>。补充、修改的内容与响应文件不一致的，以补充、修改的内容为准。</w:t>
      </w:r>
    </w:p>
    <w:p>
      <w:pPr>
        <w:spacing w:line="360" w:lineRule="auto"/>
        <w:ind w:firstLine="480" w:firstLineChars="200"/>
        <w:rPr>
          <w:rFonts w:ascii="宋体"/>
          <w:sz w:val="24"/>
        </w:rPr>
      </w:pPr>
      <w:r>
        <w:rPr>
          <w:rFonts w:ascii="宋体" w:hAnsi="宋体"/>
          <w:sz w:val="24"/>
        </w:rPr>
        <w:t>14.7</w:t>
      </w:r>
      <w:r>
        <w:rPr>
          <w:rFonts w:hint="eastAsia" w:ascii="宋体" w:hAnsi="宋体"/>
          <w:sz w:val="24"/>
        </w:rPr>
        <w:t>询价供应商在递交询价响应文件截止时间后不得修改、撤回询价响应文件。</w:t>
      </w:r>
    </w:p>
    <w:p>
      <w:pPr>
        <w:spacing w:line="360" w:lineRule="auto"/>
        <w:ind w:firstLine="480" w:firstLineChars="200"/>
        <w:rPr>
          <w:rFonts w:ascii="宋体"/>
          <w:sz w:val="24"/>
        </w:rPr>
      </w:pPr>
      <w:r>
        <w:rPr>
          <w:rFonts w:ascii="宋体" w:hAnsi="宋体"/>
          <w:sz w:val="24"/>
        </w:rPr>
        <w:t>14.8</w:t>
      </w:r>
      <w:r>
        <w:rPr>
          <w:rFonts w:hint="eastAsia" w:ascii="宋体" w:hAnsi="宋体"/>
          <w:sz w:val="24"/>
        </w:rPr>
        <w:t>递交询价响应文件截止时间结束后参加询价的询价供应商不足三家的，本次询价程序终止，除采购任务取消情形外，采购单位或招标代理机构将依法重新组织采购。</w:t>
      </w:r>
    </w:p>
    <w:p>
      <w:pPr>
        <w:pStyle w:val="5"/>
        <w:numPr>
          <w:ilvl w:val="1"/>
          <w:numId w:val="0"/>
        </w:numPr>
      </w:pPr>
      <w:bookmarkStart w:id="42" w:name="_Toc18440"/>
      <w:bookmarkStart w:id="43" w:name="_Toc5842"/>
      <w:bookmarkStart w:id="44" w:name="_Toc14136"/>
      <w:r>
        <w:rPr>
          <w:rFonts w:hint="eastAsia"/>
        </w:rPr>
        <w:t>五、</w:t>
      </w:r>
      <w:r>
        <w:t xml:space="preserve">  </w:t>
      </w:r>
      <w:r>
        <w:rPr>
          <w:rFonts w:hint="eastAsia"/>
        </w:rPr>
        <w:t>询价响应文件的评估和比较</w:t>
      </w:r>
      <w:bookmarkEnd w:id="42"/>
      <w:bookmarkEnd w:id="43"/>
      <w:bookmarkEnd w:id="44"/>
    </w:p>
    <w:p>
      <w:pPr>
        <w:spacing w:line="360" w:lineRule="auto"/>
        <w:ind w:firstLine="480" w:firstLineChars="200"/>
        <w:rPr>
          <w:rFonts w:ascii="宋体"/>
          <w:sz w:val="24"/>
        </w:rPr>
      </w:pPr>
      <w:r>
        <w:rPr>
          <w:rFonts w:ascii="宋体" w:hAnsi="宋体"/>
          <w:sz w:val="24"/>
        </w:rPr>
        <w:t>15</w:t>
      </w:r>
      <w:r>
        <w:rPr>
          <w:rFonts w:hint="eastAsia" w:ascii="宋体" w:hAnsi="宋体"/>
          <w:sz w:val="24"/>
        </w:rPr>
        <w:t>．询价采购会</w:t>
      </w:r>
    </w:p>
    <w:p>
      <w:pPr>
        <w:spacing w:line="360" w:lineRule="auto"/>
        <w:ind w:firstLine="480" w:firstLineChars="200"/>
        <w:rPr>
          <w:rFonts w:ascii="宋体"/>
          <w:sz w:val="24"/>
        </w:rPr>
      </w:pPr>
      <w:r>
        <w:rPr>
          <w:rFonts w:ascii="宋体" w:hAnsi="宋体"/>
          <w:sz w:val="24"/>
        </w:rPr>
        <w:t xml:space="preserve">15.1 </w:t>
      </w:r>
      <w:r>
        <w:rPr>
          <w:rFonts w:hint="eastAsia" w:ascii="宋体" w:hAnsi="宋体"/>
          <w:sz w:val="24"/>
        </w:rPr>
        <w:t>在询价供应商须知前附表中所规定的时间、地点召开询价采购会。</w:t>
      </w:r>
    </w:p>
    <w:p>
      <w:pPr>
        <w:spacing w:line="360" w:lineRule="auto"/>
        <w:ind w:firstLine="480" w:firstLineChars="200"/>
        <w:rPr>
          <w:rFonts w:ascii="宋体"/>
          <w:sz w:val="24"/>
          <w:szCs w:val="18"/>
        </w:rPr>
      </w:pPr>
      <w:r>
        <w:rPr>
          <w:rFonts w:ascii="宋体" w:hAnsi="宋体"/>
          <w:sz w:val="24"/>
        </w:rPr>
        <w:t>15.2</w:t>
      </w:r>
      <w:r>
        <w:rPr>
          <w:rFonts w:hint="eastAsia" w:ascii="宋体" w:hAnsi="宋体"/>
          <w:sz w:val="24"/>
          <w:szCs w:val="18"/>
        </w:rPr>
        <w:t>询价采购会由招标代理机构主持，采购人、询价供应商和有关方面代表参加。所有询价供应商应派授权代表参加询价采购会，并签到。</w:t>
      </w:r>
    </w:p>
    <w:p>
      <w:pPr>
        <w:spacing w:line="360" w:lineRule="auto"/>
        <w:ind w:firstLine="480" w:firstLineChars="200"/>
        <w:rPr>
          <w:rFonts w:ascii="宋体"/>
          <w:sz w:val="24"/>
          <w:szCs w:val="18"/>
        </w:rPr>
      </w:pPr>
      <w:r>
        <w:rPr>
          <w:rFonts w:ascii="宋体" w:hAnsi="宋体"/>
          <w:sz w:val="24"/>
          <w:szCs w:val="18"/>
        </w:rPr>
        <w:t xml:space="preserve">15.3 </w:t>
      </w:r>
      <w:r>
        <w:rPr>
          <w:rFonts w:hint="eastAsia" w:ascii="宋体" w:hAnsi="宋体"/>
          <w:sz w:val="24"/>
          <w:szCs w:val="18"/>
        </w:rPr>
        <w:t>询价采购会开始时，由询价供应商或者其推选的代表或者监督人员检查询价响应文件的密封情况，也可以由招标代理机构委托的公证机构公证人员检查并公证。对符合密封要求的询价响应文件按照提交询价响应文件时间的先后顺序（或者逆顺序）当场逐一拆封响应文件报价部分，由采购会主持人宣读报价一览表，包括各询价供应商的名称、投报报价以及</w:t>
      </w:r>
      <w:r>
        <w:rPr>
          <w:rFonts w:hint="eastAsia" w:ascii="宋体" w:hAnsi="宋体"/>
          <w:sz w:val="24"/>
        </w:rPr>
        <w:t>其他主要内容</w:t>
      </w:r>
      <w:r>
        <w:rPr>
          <w:rFonts w:hint="eastAsia" w:ascii="宋体" w:hAnsi="宋体"/>
          <w:sz w:val="24"/>
          <w:szCs w:val="18"/>
        </w:rPr>
        <w:t>。</w:t>
      </w:r>
      <w:r>
        <w:rPr>
          <w:rFonts w:hint="eastAsia" w:ascii="??" w:hAnsi="??" w:cs="Tahoma"/>
          <w:kern w:val="0"/>
          <w:sz w:val="24"/>
        </w:rPr>
        <w:t>宣读后的响应</w:t>
      </w:r>
      <w:r>
        <w:rPr>
          <w:rFonts w:hint="eastAsia" w:ascii="宋体" w:hAnsi="宋体"/>
          <w:sz w:val="24"/>
        </w:rPr>
        <w:t>文件报价部分将被</w:t>
      </w:r>
      <w:r>
        <w:rPr>
          <w:rFonts w:hint="eastAsia" w:ascii="??" w:hAnsi="??" w:cs="Tahoma"/>
          <w:kern w:val="0"/>
          <w:sz w:val="24"/>
        </w:rPr>
        <w:t>密封。采购会过程由专人负责记录。</w:t>
      </w:r>
    </w:p>
    <w:p>
      <w:pPr>
        <w:spacing w:line="360" w:lineRule="auto"/>
        <w:ind w:firstLine="480" w:firstLineChars="200"/>
        <w:rPr>
          <w:rFonts w:ascii="宋体"/>
          <w:sz w:val="24"/>
          <w:szCs w:val="18"/>
        </w:rPr>
      </w:pPr>
      <w:r>
        <w:rPr>
          <w:rFonts w:ascii="宋体" w:hAnsi="宋体"/>
          <w:sz w:val="24"/>
          <w:szCs w:val="18"/>
        </w:rPr>
        <w:t>15.4</w:t>
      </w:r>
      <w:r>
        <w:rPr>
          <w:rFonts w:hint="eastAsia" w:ascii="宋体" w:hAnsi="宋体"/>
          <w:sz w:val="24"/>
          <w:szCs w:val="18"/>
        </w:rPr>
        <w:t>报价一览表内容与分项报价表内容不一致时以报价一览表为准。</w:t>
      </w:r>
    </w:p>
    <w:p>
      <w:pPr>
        <w:spacing w:line="360" w:lineRule="auto"/>
        <w:ind w:left="84" w:leftChars="40" w:firstLine="480" w:firstLineChars="200"/>
      </w:pPr>
      <w:r>
        <w:rPr>
          <w:rFonts w:ascii="宋体" w:hAnsi="宋体"/>
          <w:sz w:val="24"/>
        </w:rPr>
        <w:t>16</w:t>
      </w:r>
      <w:r>
        <w:rPr>
          <w:rFonts w:hint="eastAsia" w:ascii="宋体" w:hAnsi="宋体"/>
          <w:sz w:val="24"/>
        </w:rPr>
        <w:t>．询价小组</w:t>
      </w:r>
    </w:p>
    <w:p>
      <w:pPr>
        <w:spacing w:line="360" w:lineRule="auto"/>
        <w:ind w:firstLine="480" w:firstLineChars="200"/>
        <w:jc w:val="left"/>
        <w:rPr>
          <w:sz w:val="24"/>
        </w:rPr>
      </w:pPr>
      <w:r>
        <w:rPr>
          <w:rFonts w:hint="eastAsia"/>
          <w:sz w:val="24"/>
        </w:rPr>
        <w:t>询价小组。采购代理机构根据本次询价采购的特点和有关规定组成询价小组。该询价小组由</w:t>
      </w:r>
      <w:r>
        <w:rPr>
          <w:rFonts w:hint="eastAsia"/>
          <w:sz w:val="24"/>
          <w:lang w:val="en-US" w:eastAsia="zh-CN"/>
        </w:rPr>
        <w:t>3名</w:t>
      </w:r>
      <w:r>
        <w:rPr>
          <w:rFonts w:hint="eastAsia"/>
          <w:sz w:val="24"/>
        </w:rPr>
        <w:t>评审专家组成。</w:t>
      </w:r>
    </w:p>
    <w:p>
      <w:pPr>
        <w:spacing w:line="360" w:lineRule="auto"/>
        <w:ind w:firstLine="480" w:firstLineChars="200"/>
        <w:rPr>
          <w:rFonts w:ascii="宋体"/>
          <w:sz w:val="24"/>
        </w:rPr>
      </w:pPr>
      <w:r>
        <w:rPr>
          <w:rFonts w:ascii="宋体" w:hAnsi="宋体"/>
          <w:sz w:val="24"/>
        </w:rPr>
        <w:t xml:space="preserve">17. </w:t>
      </w:r>
      <w:r>
        <w:rPr>
          <w:rFonts w:hint="eastAsia" w:ascii="宋体" w:hAnsi="宋体"/>
          <w:sz w:val="24"/>
        </w:rPr>
        <w:t>询价响应文件的初审</w:t>
      </w:r>
    </w:p>
    <w:p>
      <w:pPr>
        <w:spacing w:line="360" w:lineRule="auto"/>
        <w:ind w:firstLine="480" w:firstLineChars="200"/>
        <w:rPr>
          <w:rFonts w:ascii="宋体"/>
          <w:sz w:val="24"/>
        </w:rPr>
      </w:pPr>
      <w:r>
        <w:rPr>
          <w:rFonts w:hint="eastAsia" w:ascii="宋体" w:hAnsi="宋体"/>
          <w:sz w:val="24"/>
        </w:rPr>
        <w:t>对所有询价供应商的评估，都采用相同的程序和标准。评议过程将严格按照询价通知书的要求和条件进行。</w:t>
      </w:r>
    </w:p>
    <w:p>
      <w:pPr>
        <w:spacing w:line="360" w:lineRule="auto"/>
        <w:ind w:firstLine="480" w:firstLineChars="200"/>
        <w:rPr>
          <w:rFonts w:ascii="宋体"/>
          <w:sz w:val="24"/>
        </w:rPr>
      </w:pPr>
      <w:r>
        <w:rPr>
          <w:rFonts w:hint="eastAsia" w:ascii="嫤疓B2312" w:hAnsi="宋体" w:eastAsia="嫤疓B2312" w:cs="宋体"/>
          <w:kern w:val="0"/>
          <w:sz w:val="24"/>
        </w:rPr>
        <w:t>询价小组在询价过程中，不得改变询价通知书所确定的技术和服务等要求、评审程序、评定成交的标准和合同文本等事项。</w:t>
      </w:r>
    </w:p>
    <w:p>
      <w:pPr>
        <w:spacing w:line="360" w:lineRule="auto"/>
        <w:ind w:firstLine="480" w:firstLineChars="200"/>
        <w:rPr>
          <w:rFonts w:ascii="宋体"/>
          <w:sz w:val="24"/>
          <w:szCs w:val="18"/>
        </w:rPr>
      </w:pPr>
      <w:r>
        <w:rPr>
          <w:rFonts w:hint="eastAsia" w:ascii="宋体" w:hAnsi="宋体"/>
          <w:sz w:val="24"/>
        </w:rPr>
        <w:t>有关询价响应文件的审查、澄清、评估和比较以及与评审有关的其他情况都不得透露给任一询价供应商或与上述评审工作无关的人员。</w:t>
      </w:r>
    </w:p>
    <w:p>
      <w:pPr>
        <w:spacing w:line="360" w:lineRule="auto"/>
        <w:ind w:firstLine="480" w:firstLineChars="200"/>
        <w:rPr>
          <w:rFonts w:ascii="宋体"/>
          <w:sz w:val="24"/>
        </w:rPr>
      </w:pPr>
      <w:r>
        <w:rPr>
          <w:rFonts w:hint="eastAsia" w:ascii="宋体" w:hAnsi="宋体"/>
          <w:sz w:val="24"/>
        </w:rPr>
        <w:t>询价供应商任何试图影响询价小组对询价响应文件的评估、比较或者推荐候选人的行为，都将导致其询价被拒绝，并被没收询价保证金。</w:t>
      </w:r>
    </w:p>
    <w:p>
      <w:pPr>
        <w:spacing w:before="120" w:line="360" w:lineRule="auto"/>
        <w:ind w:firstLine="480" w:firstLineChars="200"/>
        <w:rPr>
          <w:rFonts w:ascii="宋体"/>
          <w:sz w:val="24"/>
        </w:rPr>
      </w:pPr>
      <w:r>
        <w:rPr>
          <w:rFonts w:ascii="宋体" w:hAnsi="宋体"/>
          <w:sz w:val="24"/>
        </w:rPr>
        <w:t>17.1</w:t>
      </w:r>
      <w:r>
        <w:rPr>
          <w:rFonts w:hint="eastAsia" w:ascii="宋体" w:hAnsi="宋体"/>
          <w:sz w:val="24"/>
        </w:rPr>
        <w:t>询价小组将对询价响应文件进行检查，以确定询价响应文件是否完整、有无计算上的错误、是否提交了询价保证金、文件是否已正确签署。</w:t>
      </w:r>
    </w:p>
    <w:p>
      <w:pPr>
        <w:spacing w:line="360" w:lineRule="auto"/>
        <w:ind w:firstLine="480" w:firstLineChars="200"/>
        <w:rPr>
          <w:rFonts w:ascii="宋体"/>
          <w:sz w:val="24"/>
        </w:rPr>
      </w:pPr>
      <w:r>
        <w:rPr>
          <w:rFonts w:ascii="宋体" w:hAnsi="宋体"/>
          <w:sz w:val="24"/>
        </w:rPr>
        <w:t xml:space="preserve">17.2 </w:t>
      </w:r>
      <w:r>
        <w:rPr>
          <w:rFonts w:hint="eastAsia" w:ascii="宋体" w:hAnsi="宋体"/>
          <w:sz w:val="24"/>
        </w:rPr>
        <w:t>算术错误将按以下方法更正：</w:t>
      </w:r>
    </w:p>
    <w:p>
      <w:pPr>
        <w:spacing w:line="360" w:lineRule="auto"/>
        <w:ind w:firstLine="480" w:firstLineChars="200"/>
        <w:rPr>
          <w:rFonts w:hint="eastAsia" w:asciiTheme="majorEastAsia" w:hAnsiTheme="majorEastAsia" w:eastAsiaTheme="majorEastAsia" w:cstheme="majorEastAsia"/>
          <w:sz w:val="24"/>
        </w:rPr>
      </w:pPr>
      <w:r>
        <w:rPr>
          <w:rFonts w:ascii="宋体" w:hAnsi="宋体"/>
          <w:sz w:val="24"/>
        </w:rPr>
        <w:t>(1)</w:t>
      </w:r>
      <w:r>
        <w:rPr>
          <w:rFonts w:hint="eastAsia" w:asciiTheme="majorEastAsia" w:hAnsiTheme="majorEastAsia" w:eastAsiaTheme="majorEastAsia" w:cstheme="majorEastAsia"/>
          <w:sz w:val="24"/>
        </w:rPr>
        <w:t>询价响应文件中报价一览表(报价表)内容与询价响应文件中明细表内容不一致的，以报价一览表(报价表)为准。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询价响应文件的大写金额和小写金额不一致的，以大写金额为准；总价金额与按单价汇总金额不一致的，以单价金额计算结果为准；单价金额小数点有明显错位的，应以总价为准，并修改单价；对不同文字文本询价响应文件的解释发生异议的，以中文文本为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如果询价供应商不接受按上述方法对询价响应文件中的算术错误进行更正，其询价将被拒绝并没收其询价保证金。</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17.3</w:t>
      </w:r>
      <w:r>
        <w:rPr>
          <w:rFonts w:hint="eastAsia" w:asciiTheme="majorEastAsia" w:hAnsiTheme="majorEastAsia" w:eastAsiaTheme="majorEastAsia" w:cstheme="majorEastAsia"/>
          <w:sz w:val="24"/>
          <w:szCs w:val="18"/>
        </w:rPr>
        <w:t>资格性检查和符合性检查</w:t>
      </w:r>
    </w:p>
    <w:p>
      <w:pPr>
        <w:spacing w:line="360" w:lineRule="auto"/>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17.3.1</w:t>
      </w:r>
      <w:r>
        <w:rPr>
          <w:rFonts w:hint="eastAsia" w:asciiTheme="majorEastAsia" w:hAnsiTheme="majorEastAsia" w:eastAsiaTheme="majorEastAsia" w:cstheme="majorEastAsia"/>
          <w:sz w:val="24"/>
          <w:szCs w:val="18"/>
        </w:rPr>
        <w:t>资格性检查。依据法律法规和询价通知书的规定，</w:t>
      </w:r>
      <w:r>
        <w:rPr>
          <w:rFonts w:hint="eastAsia" w:asciiTheme="majorEastAsia" w:hAnsiTheme="majorEastAsia" w:eastAsiaTheme="majorEastAsia" w:cstheme="majorEastAsia"/>
          <w:sz w:val="24"/>
        </w:rPr>
        <w:t>在对询价响应文件详细评估之前，询价小组将依据询价供应商提交的询价响应文件按询价供应商须知前附表第2项所述的资格标准对询价供应商</w:t>
      </w:r>
      <w:r>
        <w:rPr>
          <w:rFonts w:hint="eastAsia" w:asciiTheme="majorEastAsia" w:hAnsiTheme="majorEastAsia" w:eastAsiaTheme="majorEastAsia" w:cstheme="majorEastAsia"/>
          <w:sz w:val="24"/>
          <w:szCs w:val="18"/>
        </w:rPr>
        <w:t xml:space="preserve">进行资格审查, </w:t>
      </w:r>
      <w:r>
        <w:rPr>
          <w:rFonts w:hint="eastAsia" w:asciiTheme="majorEastAsia" w:hAnsiTheme="majorEastAsia" w:eastAsiaTheme="majorEastAsia" w:cstheme="majorEastAsia"/>
          <w:sz w:val="24"/>
        </w:rPr>
        <w:t>以确定其</w:t>
      </w:r>
      <w:r>
        <w:rPr>
          <w:rFonts w:hint="eastAsia" w:asciiTheme="majorEastAsia" w:hAnsiTheme="majorEastAsia" w:eastAsiaTheme="majorEastAsia" w:cstheme="majorEastAsia"/>
          <w:sz w:val="24"/>
          <w:szCs w:val="18"/>
        </w:rPr>
        <w:t>是否具备询价资格</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b/>
          <w:sz w:val="24"/>
        </w:rPr>
        <w:t>只有经询价小组审查，符合本采购文件资格条件规定的供应商才是合格的供应商。</w:t>
      </w:r>
      <w:r>
        <w:rPr>
          <w:rFonts w:hint="eastAsia" w:asciiTheme="majorEastAsia" w:hAnsiTheme="majorEastAsia" w:eastAsiaTheme="majorEastAsia" w:cstheme="majorEastAsia"/>
          <w:sz w:val="24"/>
        </w:rPr>
        <w:t>如果供应商不具备资格条件，不满足采购文件所规定的资格标准或提供资格证明材料不符合采购文件规定的, 其询价将被拒绝。</w:t>
      </w:r>
    </w:p>
    <w:p>
      <w:pPr>
        <w:spacing w:line="360" w:lineRule="auto"/>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17.3.2</w:t>
      </w:r>
      <w:r>
        <w:rPr>
          <w:rFonts w:hint="eastAsia" w:asciiTheme="majorEastAsia" w:hAnsiTheme="majorEastAsia" w:eastAsiaTheme="majorEastAsia" w:cstheme="majorEastAsia"/>
          <w:sz w:val="24"/>
          <w:szCs w:val="18"/>
        </w:rPr>
        <w:t>符合性检查。依据询价通知书的规定，</w:t>
      </w:r>
      <w:r>
        <w:rPr>
          <w:rFonts w:hint="eastAsia" w:asciiTheme="majorEastAsia" w:hAnsiTheme="majorEastAsia" w:eastAsiaTheme="majorEastAsia" w:cstheme="majorEastAsia"/>
          <w:sz w:val="24"/>
        </w:rPr>
        <w:t>询价小组还将</w:t>
      </w:r>
      <w:r>
        <w:rPr>
          <w:rFonts w:hint="eastAsia" w:asciiTheme="majorEastAsia" w:hAnsiTheme="majorEastAsia" w:eastAsiaTheme="majorEastAsia" w:cstheme="majorEastAsia"/>
          <w:sz w:val="24"/>
          <w:szCs w:val="18"/>
        </w:rPr>
        <w:t>从询价响应文件的有效性、完整性和对询价通知书的响应程度进行审查，以确定是否符合对询价通知书的实质性要求作出响应。</w:t>
      </w:r>
      <w:r>
        <w:rPr>
          <w:rFonts w:hint="eastAsia" w:asciiTheme="majorEastAsia" w:hAnsiTheme="majorEastAsia" w:eastAsiaTheme="majorEastAsia" w:cstheme="majorEastAsia"/>
          <w:sz w:val="24"/>
        </w:rPr>
        <w:t>（采购人可根据具体项目的情况对实质性要求作特别的规定）实质性偏离是指：（1）实质性影响合同的范围、质量和履行；（2）实质性违背询价通知书，限制了采购人的权利和成交供应商合同项下的义务；（3）不公正地影响了其它作出实质性响应的询价供应商的竞争地位。对没有实质性响应的询价响应文件将不进行评估。</w:t>
      </w:r>
      <w:r>
        <w:rPr>
          <w:rFonts w:hint="eastAsia" w:asciiTheme="majorEastAsia" w:hAnsiTheme="majorEastAsia" w:eastAsiaTheme="majorEastAsia" w:cstheme="majorEastAsia"/>
          <w:b/>
          <w:sz w:val="24"/>
        </w:rPr>
        <w:t>凡有下列情况之一者，询价响应文件也将被视为未实质性响应询价通知书要求：</w:t>
      </w:r>
    </w:p>
    <w:p>
      <w:pPr>
        <w:spacing w:line="360" w:lineRule="auto"/>
        <w:ind w:firstLine="482"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 询价响应文件未按照本须知第13.2、13.8、14条的规定进行编制、密封、标记的；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(2)未按规定由询价供应商的法定代表人或其授权代表签字，或未加盖询价供应商公章的；或签字人未经法定代表人有效授权委托的；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(3)未缴纳询价保证金或金额不足的；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(4)询价供应商之间存在本须知第3.3条规定的；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(5)询价响应有效期不满足询价通知书要求的；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(6)询价响应文件内容与询价通知书内容及要求有重大偏离或保留的；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(7)询价供应商提交的是可选择的报价；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(8)询价响应文件组成不符合询价通知书要求的；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(9)递交的《响应函》、《法定代表人授权书》内容与本询价通知书格式内容存在实质性差别的；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(10)询价响应报价有漏（缺）报项，询价供应商不同意按照询价通知书规定处理的；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(11)询价响应文件内容关键字迹模糊，无法辨认的；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(12)反映询价响应文件个性特征的内容出现明显雷同的；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(13)询价供应商的投</w:t>
      </w:r>
      <w:r>
        <w:rPr>
          <w:rFonts w:hint="eastAsia" w:asciiTheme="majorEastAsia" w:hAnsiTheme="majorEastAsia" w:eastAsiaTheme="majorEastAsia" w:cstheme="majorEastAsia"/>
          <w:sz w:val="24"/>
          <w:lang w:val="en-US" w:eastAsia="zh-CN"/>
        </w:rPr>
        <w:t>标</w:t>
      </w:r>
      <w:r>
        <w:rPr>
          <w:rFonts w:hint="eastAsia" w:asciiTheme="majorEastAsia" w:hAnsiTheme="majorEastAsia" w:eastAsiaTheme="majorEastAsia" w:cstheme="majorEastAsia"/>
          <w:sz w:val="24"/>
        </w:rPr>
        <w:t>单价或总价超过控制价的；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(14)不符合询价通知书中规定的其它实质性条款。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询价小组决定询价的响应性只根据询价响应文件本身的内容，而不寻求其他的外部证据。</w:t>
      </w:r>
    </w:p>
    <w:p>
      <w:pPr>
        <w:spacing w:line="360" w:lineRule="auto"/>
        <w:ind w:firstLine="480" w:firstLineChars="200"/>
        <w:rPr>
          <w:rFonts w:hint="eastAsia" w:asciiTheme="majorEastAsia" w:hAnsiTheme="majorEastAsia" w:eastAsiaTheme="majorEastAsia" w:cstheme="majorEastAsia"/>
          <w:sz w:val="24"/>
          <w:szCs w:val="18"/>
        </w:rPr>
      </w:pPr>
      <w:r>
        <w:rPr>
          <w:rFonts w:hint="eastAsia" w:asciiTheme="majorEastAsia" w:hAnsiTheme="majorEastAsia" w:eastAsiaTheme="majorEastAsia" w:cstheme="majorEastAsia"/>
          <w:sz w:val="24"/>
        </w:rPr>
        <w:t>18.</w:t>
      </w:r>
      <w:r>
        <w:rPr>
          <w:rFonts w:hint="eastAsia" w:asciiTheme="majorEastAsia" w:hAnsiTheme="majorEastAsia" w:eastAsiaTheme="majorEastAsia" w:cstheme="majorEastAsia"/>
          <w:sz w:val="24"/>
          <w:szCs w:val="18"/>
        </w:rPr>
        <w:t xml:space="preserve">询价响应文件的澄清 </w:t>
      </w:r>
    </w:p>
    <w:p>
      <w:pPr>
        <w:spacing w:line="360" w:lineRule="auto"/>
        <w:ind w:firstLine="480" w:firstLineChars="200"/>
        <w:rPr>
          <w:rFonts w:hint="eastAsia" w:asciiTheme="majorEastAsia" w:hAnsiTheme="majorEastAsia" w:eastAsiaTheme="majorEastAsia" w:cstheme="majorEastAsia"/>
          <w:sz w:val="24"/>
          <w:szCs w:val="18"/>
        </w:rPr>
      </w:pPr>
      <w:r>
        <w:rPr>
          <w:rFonts w:hint="eastAsia" w:asciiTheme="majorEastAsia" w:hAnsiTheme="majorEastAsia" w:eastAsiaTheme="majorEastAsia" w:cstheme="majorEastAsia"/>
          <w:sz w:val="24"/>
          <w:szCs w:val="18"/>
        </w:rPr>
        <w:t>18.1 对询价响应文件中含义不明确、同类问题表述不一致或者有明显文字和计算错误的内容，询价小组可以书面形式要求询价供应商作出必要的澄清、说明或者更正。询价供应商的澄清、说明或者更正应当在询价小组规定的时间内以书面形式作出，由其法定代表人或者授权代表签字，并不得超出询价响应文件的范围或者改变询价响应文件的实质性内容。</w:t>
      </w:r>
    </w:p>
    <w:p>
      <w:pPr>
        <w:spacing w:line="360" w:lineRule="auto"/>
        <w:ind w:firstLine="480" w:firstLineChars="200"/>
        <w:rPr>
          <w:rFonts w:hint="eastAsia" w:asciiTheme="majorEastAsia" w:hAnsiTheme="majorEastAsia" w:eastAsiaTheme="majorEastAsia" w:cstheme="majorEastAsia"/>
          <w:sz w:val="24"/>
          <w:szCs w:val="18"/>
        </w:rPr>
      </w:pPr>
      <w:r>
        <w:rPr>
          <w:rFonts w:hint="eastAsia" w:asciiTheme="majorEastAsia" w:hAnsiTheme="majorEastAsia" w:eastAsiaTheme="majorEastAsia" w:cstheme="majorEastAsia"/>
          <w:sz w:val="24"/>
          <w:szCs w:val="18"/>
        </w:rPr>
        <w:t>19. 比较与评价</w:t>
      </w:r>
    </w:p>
    <w:p>
      <w:pPr>
        <w:widowControl/>
        <w:snapToGrid w:val="0"/>
        <w:spacing w:line="360" w:lineRule="auto"/>
        <w:ind w:firstLine="480" w:firstLineChars="200"/>
        <w:jc w:val="left"/>
        <w:rPr>
          <w:rFonts w:hint="eastAsia" w:asciiTheme="majorEastAsia" w:hAnsiTheme="majorEastAsia" w:eastAsiaTheme="majorEastAsia" w:cstheme="majorEastAsia"/>
          <w:sz w:val="24"/>
          <w:szCs w:val="18"/>
          <w:lang w:eastAsia="zh-CN"/>
        </w:rPr>
      </w:pPr>
      <w:r>
        <w:rPr>
          <w:rFonts w:hint="eastAsia" w:asciiTheme="majorEastAsia" w:hAnsiTheme="majorEastAsia" w:eastAsiaTheme="majorEastAsia" w:cstheme="majorEastAsia"/>
          <w:sz w:val="24"/>
          <w:szCs w:val="18"/>
        </w:rPr>
        <w:t>19.1询价小组首先进行资格性与符合性审查，其次再进行报价部分的评审，最终按照须知前附表第6项所述评审方法与标准推荐</w:t>
      </w:r>
      <w:r>
        <w:rPr>
          <w:rFonts w:hint="eastAsia" w:asciiTheme="majorEastAsia" w:hAnsiTheme="majorEastAsia" w:eastAsiaTheme="majorEastAsia" w:cstheme="majorEastAsia"/>
          <w:sz w:val="24"/>
          <w:szCs w:val="18"/>
          <w:lang w:eastAsia="zh-CN"/>
        </w:rPr>
        <w:t>成交供应商。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19.2评审程序</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19.2.1</w:t>
      </w:r>
      <w:r>
        <w:rPr>
          <w:rFonts w:hint="eastAsia" w:asciiTheme="majorEastAsia" w:hAnsiTheme="majorEastAsia" w:eastAsiaTheme="majorEastAsia" w:cstheme="majorEastAsia"/>
          <w:b/>
          <w:bCs/>
          <w:sz w:val="24"/>
        </w:rPr>
        <w:t>评审前的准备工作</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（1）全体评委应认真审阅询价通知书，了解评委应履行或遵守的职责、义务和评审纪律，并对询价通知书进行确认。</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（2）参加询价小组的采购人代表可对本项目的背景和采购需求进行介绍，介绍材料应以书面形式提交（随采购文件一并存档），介绍内容不得含有歧视性、倾向性意见，不得超出询价通知书所述范围。</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19.2.2</w:t>
      </w:r>
      <w:r>
        <w:rPr>
          <w:rFonts w:hint="eastAsia" w:asciiTheme="majorEastAsia" w:hAnsiTheme="majorEastAsia" w:eastAsiaTheme="majorEastAsia" w:cstheme="majorEastAsia"/>
          <w:b/>
          <w:bCs/>
          <w:sz w:val="24"/>
        </w:rPr>
        <w:t>资格性审查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询价小组将根据询价通知书，对供应商提供的资格证明材料进行审查。有任一项资格证明材料不满足资格条件的，视为</w:t>
      </w:r>
      <w:r>
        <w:rPr>
          <w:rFonts w:hint="eastAsia" w:asciiTheme="majorEastAsia" w:hAnsiTheme="majorEastAsia" w:eastAsiaTheme="majorEastAsia" w:cstheme="majorEastAsia"/>
          <w:b/>
          <w:bCs/>
          <w:sz w:val="24"/>
        </w:rPr>
        <w:t>无效响应</w:t>
      </w:r>
      <w:r>
        <w:rPr>
          <w:rFonts w:hint="eastAsia" w:asciiTheme="majorEastAsia" w:hAnsiTheme="majorEastAsia" w:eastAsiaTheme="majorEastAsia" w:cstheme="majorEastAsia"/>
          <w:sz w:val="24"/>
        </w:rPr>
        <w:t>。若供应商为联合体的，询价小组对联合体各方资格证明文件及联合体协议进行审查，不满足资格条件的，视为</w:t>
      </w:r>
      <w:r>
        <w:rPr>
          <w:rFonts w:hint="eastAsia" w:asciiTheme="majorEastAsia" w:hAnsiTheme="majorEastAsia" w:eastAsiaTheme="majorEastAsia" w:cstheme="majorEastAsia"/>
          <w:b/>
          <w:bCs/>
          <w:sz w:val="24"/>
        </w:rPr>
        <w:t>无效响应</w:t>
      </w:r>
      <w:r>
        <w:rPr>
          <w:rFonts w:hint="eastAsia" w:asciiTheme="majorEastAsia" w:hAnsiTheme="majorEastAsia" w:eastAsiaTheme="majorEastAsia" w:cstheme="majorEastAsia"/>
          <w:sz w:val="24"/>
        </w:rPr>
        <w:t>。</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19.2.3</w:t>
      </w:r>
      <w:r>
        <w:rPr>
          <w:rFonts w:hint="eastAsia" w:asciiTheme="majorEastAsia" w:hAnsiTheme="majorEastAsia" w:eastAsiaTheme="majorEastAsia" w:cstheme="majorEastAsia"/>
          <w:b/>
          <w:bCs/>
          <w:sz w:val="24"/>
        </w:rPr>
        <w:t>符合性审查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有效性、完整性审查。有下列情形之一的，符合性审查不合格，</w:t>
      </w:r>
      <w:r>
        <w:rPr>
          <w:rFonts w:hint="eastAsia" w:asciiTheme="majorEastAsia" w:hAnsiTheme="majorEastAsia" w:eastAsiaTheme="majorEastAsia" w:cstheme="majorEastAsia"/>
          <w:b/>
          <w:bCs/>
          <w:sz w:val="24"/>
        </w:rPr>
        <w:t>响应文件无效</w:t>
      </w:r>
      <w:r>
        <w:rPr>
          <w:rFonts w:hint="eastAsia" w:asciiTheme="majorEastAsia" w:hAnsiTheme="majorEastAsia" w:eastAsiaTheme="majorEastAsia" w:cstheme="majorEastAsia"/>
          <w:sz w:val="24"/>
        </w:rPr>
        <w:t>：</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（1）一般情形</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①未按照询价通知书规定提交询价响应声明的；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②未按照询价通知书规定提交询价保证金的；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③响应文件有效期不足的；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④本项目规定的其他情形：</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19.2.4</w:t>
      </w:r>
      <w:r>
        <w:rPr>
          <w:rFonts w:hint="eastAsia" w:asciiTheme="majorEastAsia" w:hAnsiTheme="majorEastAsia" w:eastAsiaTheme="majorEastAsia" w:cstheme="majorEastAsia"/>
          <w:b/>
          <w:bCs/>
          <w:sz w:val="24"/>
        </w:rPr>
        <w:t>响应程度审查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（1）审查响应文件是否与询价通知书要求的实质性条款、条件和规格相符。</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（2）响应文件是否实质性响应询价通知书，由询价小组依据询价通知书规定和响应文件内容认定。有任一项实质性要求条款偏离的，视为</w:t>
      </w:r>
      <w:r>
        <w:rPr>
          <w:rFonts w:hint="eastAsia" w:asciiTheme="majorEastAsia" w:hAnsiTheme="majorEastAsia" w:eastAsiaTheme="majorEastAsia" w:cstheme="majorEastAsia"/>
          <w:b/>
          <w:bCs/>
          <w:sz w:val="24"/>
        </w:rPr>
        <w:t>无效响应</w:t>
      </w:r>
      <w:r>
        <w:rPr>
          <w:rFonts w:hint="eastAsia" w:asciiTheme="majorEastAsia" w:hAnsiTheme="majorEastAsia" w:eastAsiaTheme="majorEastAsia" w:cstheme="majorEastAsia"/>
          <w:sz w:val="24"/>
        </w:rPr>
        <w:t>。</w:t>
      </w:r>
    </w:p>
    <w:p>
      <w:pPr>
        <w:spacing w:line="360" w:lineRule="auto"/>
        <w:ind w:firstLine="480" w:firstLineChars="200"/>
        <w:rPr>
          <w:rFonts w:ascii="宋体"/>
          <w:sz w:val="24"/>
        </w:rPr>
      </w:pPr>
      <w:r>
        <w:rPr>
          <w:rFonts w:ascii="宋体" w:hAnsi="宋体"/>
          <w:sz w:val="24"/>
        </w:rPr>
        <w:t xml:space="preserve">19.3  </w:t>
      </w:r>
      <w:r>
        <w:rPr>
          <w:rFonts w:hint="eastAsia" w:ascii="宋体" w:hAnsi="宋体"/>
          <w:sz w:val="24"/>
        </w:rPr>
        <w:t>对漏（缺）报项的处理：询价通知书中要求列入报价的费用（含配置、功能），漏（缺）报的视同已含在投报总价中。但在评审时取有效询价供应商该项最高报价加入投报总价中计算评审价格。对多报项及赠送项的价格评审时不予核减，全部进入评审价评议。</w:t>
      </w:r>
    </w:p>
    <w:p>
      <w:pPr>
        <w:spacing w:line="360" w:lineRule="auto"/>
        <w:ind w:firstLine="480" w:firstLineChars="200"/>
        <w:rPr>
          <w:rFonts w:ascii="宋体"/>
          <w:sz w:val="24"/>
        </w:rPr>
      </w:pPr>
      <w:r>
        <w:rPr>
          <w:rFonts w:ascii="宋体" w:hAnsi="宋体"/>
          <w:sz w:val="24"/>
        </w:rPr>
        <w:t xml:space="preserve"> 19.4</w:t>
      </w:r>
      <w:r>
        <w:rPr>
          <w:rFonts w:hint="eastAsia" w:ascii="宋体" w:hAnsi="宋体"/>
          <w:sz w:val="24"/>
        </w:rPr>
        <w:t>若询价供应商的报价明显低于其他报价，使得其询价响应报价可能低于其个别成本的，有可能影响商品质量或不能诚信履约的，询价供应商应按询价小组要求作出书面说明并提供相关证明材料，不能合理说明或不能提供相关证明材料的，可拒绝该询价响应文件。</w:t>
      </w:r>
    </w:p>
    <w:p>
      <w:pPr>
        <w:spacing w:line="360" w:lineRule="auto"/>
        <w:ind w:firstLine="482"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19.5</w:t>
      </w:r>
      <w:r>
        <w:rPr>
          <w:rFonts w:hint="eastAsia" w:asciiTheme="majorEastAsia" w:hAnsiTheme="majorEastAsia" w:eastAsiaTheme="majorEastAsia" w:cstheme="majorEastAsia"/>
          <w:b/>
          <w:kern w:val="0"/>
          <w:sz w:val="24"/>
        </w:rPr>
        <w:t>询价小组在评审过程中发现询价供应商存在下列情形之一的，可认定其有串通参加询价行为，并做出其询价响应文件无效的决定：</w:t>
      </w:r>
    </w:p>
    <w:p>
      <w:pPr>
        <w:widowControl/>
        <w:spacing w:line="360" w:lineRule="auto"/>
        <w:ind w:firstLine="480" w:firstLineChars="200"/>
        <w:rPr>
          <w:rFonts w:ascii="宋体"/>
          <w:kern w:val="0"/>
          <w:sz w:val="24"/>
        </w:rPr>
      </w:pPr>
      <w:r>
        <w:rPr>
          <w:rFonts w:hint="eastAsia" w:ascii="宋体" w:hAnsi="宋体"/>
          <w:kern w:val="0"/>
          <w:sz w:val="24"/>
        </w:rPr>
        <w:t>（</w:t>
      </w:r>
      <w:r>
        <w:rPr>
          <w:rFonts w:ascii="宋体" w:hAnsi="宋体"/>
          <w:kern w:val="0"/>
          <w:sz w:val="24"/>
        </w:rPr>
        <w:t>1</w:t>
      </w:r>
      <w:r>
        <w:rPr>
          <w:rFonts w:hint="eastAsia" w:ascii="宋体" w:hAnsi="宋体"/>
          <w:kern w:val="0"/>
          <w:sz w:val="24"/>
        </w:rPr>
        <w:t>）不同询价供应商的询价响应文件错、漏之处一致或雷同，且不能合理解释的；</w:t>
      </w:r>
    </w:p>
    <w:p>
      <w:pPr>
        <w:widowControl/>
        <w:spacing w:line="360" w:lineRule="auto"/>
        <w:ind w:firstLine="480" w:firstLineChars="200"/>
        <w:rPr>
          <w:rFonts w:ascii="宋体"/>
          <w:kern w:val="0"/>
          <w:sz w:val="24"/>
        </w:rPr>
      </w:pPr>
      <w:r>
        <w:rPr>
          <w:rFonts w:hint="eastAsia" w:ascii="宋体" w:hAnsi="宋体"/>
          <w:kern w:val="0"/>
          <w:sz w:val="24"/>
        </w:rPr>
        <w:t>（</w:t>
      </w:r>
      <w:r>
        <w:rPr>
          <w:rFonts w:ascii="宋体" w:hAnsi="宋体"/>
          <w:kern w:val="0"/>
          <w:sz w:val="24"/>
        </w:rPr>
        <w:t>2</w:t>
      </w:r>
      <w:r>
        <w:rPr>
          <w:rFonts w:hint="eastAsia" w:ascii="宋体" w:hAnsi="宋体"/>
          <w:kern w:val="0"/>
          <w:sz w:val="24"/>
        </w:rPr>
        <w:t>）不同的询价供应商的法定代表人、委托代理人等由同一个单位缴纳社会保险的；</w:t>
      </w:r>
    </w:p>
    <w:p>
      <w:pPr>
        <w:widowControl/>
        <w:spacing w:line="360" w:lineRule="auto"/>
        <w:ind w:firstLine="480" w:firstLineChars="200"/>
        <w:rPr>
          <w:rFonts w:ascii="宋体" w:cs="Tahoma"/>
          <w:kern w:val="0"/>
          <w:sz w:val="24"/>
        </w:rPr>
      </w:pPr>
      <w:r>
        <w:rPr>
          <w:rFonts w:hint="eastAsia" w:ascii="宋体" w:hAnsi="宋体"/>
          <w:kern w:val="0"/>
          <w:sz w:val="24"/>
        </w:rPr>
        <w:t>（</w:t>
      </w:r>
      <w:r>
        <w:rPr>
          <w:rFonts w:ascii="宋体" w:hAnsi="宋体"/>
          <w:kern w:val="0"/>
          <w:sz w:val="24"/>
        </w:rPr>
        <w:t>3</w:t>
      </w:r>
      <w:r>
        <w:rPr>
          <w:rFonts w:hint="eastAsia" w:ascii="宋体" w:hAnsi="宋体"/>
          <w:kern w:val="0"/>
          <w:sz w:val="24"/>
        </w:rPr>
        <w:t>）由同一人或分别由几个有利害关系人携带两个以上（含两个）询价供应商的企业</w:t>
      </w:r>
      <w:r>
        <w:rPr>
          <w:rFonts w:hint="eastAsia" w:ascii="宋体" w:hAnsi="宋体" w:cs="Tahoma"/>
          <w:kern w:val="0"/>
          <w:sz w:val="24"/>
        </w:rPr>
        <w:t>资料参与资格审查、领取询价资料，或代表两个以上（含两个）询价供应商参加答疑会、采购会、交纳或退还询价保证金的；</w:t>
      </w:r>
    </w:p>
    <w:p>
      <w:pPr>
        <w:pStyle w:val="90"/>
        <w:ind w:firstLine="31680"/>
        <w:rPr>
          <w:rFonts w:ascii="宋体"/>
          <w:kern w:val="0"/>
        </w:rPr>
      </w:pPr>
      <w:r>
        <w:rPr>
          <w:rFonts w:hint="eastAsia" w:ascii="宋体" w:hAnsi="宋体"/>
          <w:kern w:val="0"/>
        </w:rPr>
        <w:t>（</w:t>
      </w:r>
      <w:r>
        <w:rPr>
          <w:rFonts w:ascii="宋体" w:hAnsi="宋体"/>
          <w:kern w:val="0"/>
        </w:rPr>
        <w:t>4</w:t>
      </w:r>
      <w:r>
        <w:rPr>
          <w:rFonts w:hint="eastAsia" w:ascii="宋体" w:hAnsi="宋体"/>
          <w:kern w:val="0"/>
        </w:rPr>
        <w:t>）不同</w:t>
      </w:r>
      <w:r>
        <w:rPr>
          <w:rFonts w:hint="eastAsia" w:ascii="宋体" w:hAnsi="宋体" w:cs="Tahoma"/>
          <w:kern w:val="0"/>
        </w:rPr>
        <w:t>询价供应商</w:t>
      </w:r>
      <w:r>
        <w:rPr>
          <w:rFonts w:hint="eastAsia" w:ascii="宋体" w:hAnsi="宋体"/>
          <w:kern w:val="0"/>
        </w:rPr>
        <w:t>的询价文件由同一单位或者个人编制；</w:t>
      </w:r>
    </w:p>
    <w:p>
      <w:pPr>
        <w:pStyle w:val="90"/>
        <w:ind w:firstLine="31680"/>
        <w:rPr>
          <w:rFonts w:ascii="宋体"/>
          <w:kern w:val="0"/>
        </w:rPr>
      </w:pPr>
      <w:r>
        <w:rPr>
          <w:rFonts w:hint="eastAsia" w:ascii="宋体" w:hAnsi="宋体"/>
          <w:kern w:val="0"/>
        </w:rPr>
        <w:t>（</w:t>
      </w:r>
      <w:r>
        <w:rPr>
          <w:rFonts w:ascii="宋体" w:hAnsi="宋体"/>
          <w:kern w:val="0"/>
        </w:rPr>
        <w:t>5</w:t>
      </w:r>
      <w:r>
        <w:rPr>
          <w:rFonts w:hint="eastAsia" w:ascii="宋体" w:hAnsi="宋体"/>
          <w:kern w:val="0"/>
        </w:rPr>
        <w:t>）不同</w:t>
      </w:r>
      <w:r>
        <w:rPr>
          <w:rFonts w:hint="eastAsia" w:ascii="宋体" w:hAnsi="宋体" w:cs="Tahoma"/>
          <w:kern w:val="0"/>
        </w:rPr>
        <w:t>询价供应商</w:t>
      </w:r>
      <w:r>
        <w:rPr>
          <w:rFonts w:hint="eastAsia" w:ascii="宋体" w:hAnsi="宋体"/>
          <w:kern w:val="0"/>
        </w:rPr>
        <w:t>委托同一单位或者个人办理询价事宜；</w:t>
      </w:r>
    </w:p>
    <w:p>
      <w:pPr>
        <w:pStyle w:val="90"/>
        <w:ind w:firstLine="31680"/>
        <w:rPr>
          <w:rFonts w:ascii="宋体"/>
          <w:kern w:val="0"/>
        </w:rPr>
      </w:pPr>
      <w:r>
        <w:rPr>
          <w:rFonts w:hint="eastAsia" w:ascii="宋体" w:hAnsi="宋体"/>
          <w:kern w:val="0"/>
        </w:rPr>
        <w:t>（</w:t>
      </w:r>
      <w:r>
        <w:rPr>
          <w:rFonts w:ascii="宋体" w:hAnsi="宋体"/>
          <w:kern w:val="0"/>
        </w:rPr>
        <w:t>6</w:t>
      </w:r>
      <w:r>
        <w:rPr>
          <w:rFonts w:hint="eastAsia" w:ascii="宋体" w:hAnsi="宋体"/>
          <w:kern w:val="0"/>
        </w:rPr>
        <w:t>）不同</w:t>
      </w:r>
      <w:r>
        <w:rPr>
          <w:rFonts w:hint="eastAsia" w:ascii="宋体" w:hAnsi="宋体" w:cs="Tahoma"/>
          <w:kern w:val="0"/>
        </w:rPr>
        <w:t>询价供应商</w:t>
      </w:r>
      <w:r>
        <w:rPr>
          <w:rFonts w:hint="eastAsia" w:ascii="宋体" w:hAnsi="宋体"/>
          <w:kern w:val="0"/>
        </w:rPr>
        <w:t>的询价文件载明的项目管理成员为同一人；</w:t>
      </w:r>
    </w:p>
    <w:p>
      <w:pPr>
        <w:pStyle w:val="90"/>
        <w:ind w:firstLine="31680"/>
        <w:rPr>
          <w:rFonts w:ascii="宋体"/>
          <w:kern w:val="0"/>
        </w:rPr>
      </w:pPr>
      <w:r>
        <w:rPr>
          <w:rFonts w:hint="eastAsia" w:ascii="宋体" w:hAnsi="宋体"/>
          <w:kern w:val="0"/>
        </w:rPr>
        <w:t>（</w:t>
      </w:r>
      <w:r>
        <w:rPr>
          <w:rFonts w:ascii="宋体" w:hAnsi="宋体"/>
          <w:kern w:val="0"/>
        </w:rPr>
        <w:t>7</w:t>
      </w:r>
      <w:r>
        <w:rPr>
          <w:rFonts w:hint="eastAsia" w:ascii="宋体" w:hAnsi="宋体"/>
          <w:kern w:val="0"/>
        </w:rPr>
        <w:t>）不同</w:t>
      </w:r>
      <w:r>
        <w:rPr>
          <w:rFonts w:hint="eastAsia" w:ascii="宋体" w:hAnsi="宋体" w:cs="Tahoma"/>
          <w:kern w:val="0"/>
        </w:rPr>
        <w:t>询价供应商</w:t>
      </w:r>
      <w:r>
        <w:rPr>
          <w:rFonts w:hint="eastAsia" w:ascii="宋体" w:hAnsi="宋体"/>
          <w:kern w:val="0"/>
        </w:rPr>
        <w:t>的询价文件异常一致或者询价响应报价呈规律性差异；</w:t>
      </w:r>
    </w:p>
    <w:p>
      <w:pPr>
        <w:pStyle w:val="90"/>
        <w:ind w:firstLine="31680"/>
        <w:rPr>
          <w:rFonts w:ascii="宋体"/>
          <w:kern w:val="0"/>
        </w:rPr>
      </w:pPr>
      <w:r>
        <w:rPr>
          <w:rFonts w:hint="eastAsia" w:ascii="宋体" w:hAnsi="宋体"/>
          <w:kern w:val="0"/>
        </w:rPr>
        <w:t>（</w:t>
      </w:r>
      <w:r>
        <w:rPr>
          <w:rFonts w:ascii="宋体" w:hAnsi="宋体"/>
          <w:kern w:val="0"/>
        </w:rPr>
        <w:t>8</w:t>
      </w:r>
      <w:r>
        <w:rPr>
          <w:rFonts w:hint="eastAsia" w:ascii="宋体" w:hAnsi="宋体"/>
          <w:kern w:val="0"/>
        </w:rPr>
        <w:t>）不同</w:t>
      </w:r>
      <w:r>
        <w:rPr>
          <w:rFonts w:hint="eastAsia" w:ascii="宋体" w:hAnsi="宋体" w:cs="Tahoma"/>
          <w:kern w:val="0"/>
        </w:rPr>
        <w:t>询价供应商</w:t>
      </w:r>
      <w:r>
        <w:rPr>
          <w:rFonts w:hint="eastAsia" w:ascii="宋体" w:hAnsi="宋体"/>
          <w:kern w:val="0"/>
        </w:rPr>
        <w:t>的询价文件相互混装；</w:t>
      </w:r>
    </w:p>
    <w:p>
      <w:pPr>
        <w:pStyle w:val="90"/>
        <w:ind w:firstLine="31680"/>
        <w:rPr>
          <w:rFonts w:ascii="宋体"/>
          <w:kern w:val="0"/>
        </w:rPr>
      </w:pPr>
      <w:r>
        <w:rPr>
          <w:rFonts w:hint="eastAsia" w:ascii="宋体" w:hAnsi="宋体"/>
          <w:kern w:val="0"/>
        </w:rPr>
        <w:t>（</w:t>
      </w:r>
      <w:r>
        <w:rPr>
          <w:rFonts w:ascii="宋体" w:hAnsi="宋体"/>
          <w:kern w:val="0"/>
        </w:rPr>
        <w:t>9</w:t>
      </w:r>
      <w:r>
        <w:rPr>
          <w:rFonts w:hint="eastAsia" w:ascii="宋体" w:hAnsi="宋体"/>
          <w:kern w:val="0"/>
        </w:rPr>
        <w:t>）不同</w:t>
      </w:r>
      <w:r>
        <w:rPr>
          <w:rFonts w:hint="eastAsia" w:ascii="宋体" w:hAnsi="宋体" w:cs="Tahoma"/>
          <w:kern w:val="0"/>
        </w:rPr>
        <w:t>询价供应商</w:t>
      </w:r>
      <w:r>
        <w:rPr>
          <w:rFonts w:hint="eastAsia" w:ascii="宋体" w:hAnsi="宋体"/>
          <w:kern w:val="0"/>
        </w:rPr>
        <w:t>的询价保证金从同一单位或者个人的账户转出；</w:t>
      </w:r>
    </w:p>
    <w:p>
      <w:pPr>
        <w:pStyle w:val="90"/>
        <w:ind w:firstLine="31680"/>
        <w:rPr>
          <w:rFonts w:ascii="宋体"/>
        </w:rPr>
      </w:pPr>
      <w:r>
        <w:rPr>
          <w:rFonts w:hint="eastAsia" w:ascii="宋体" w:hAnsi="宋体"/>
          <w:kern w:val="0"/>
        </w:rPr>
        <w:t>（</w:t>
      </w:r>
      <w:r>
        <w:rPr>
          <w:rFonts w:ascii="宋体" w:hAnsi="宋体"/>
          <w:kern w:val="0"/>
        </w:rPr>
        <w:t>10</w:t>
      </w:r>
      <w:r>
        <w:rPr>
          <w:rFonts w:hint="eastAsia" w:ascii="宋体" w:hAnsi="宋体"/>
          <w:kern w:val="0"/>
        </w:rPr>
        <w:t>）有关法律、法规或规章规定的其它串通投标行为。</w:t>
      </w:r>
    </w:p>
    <w:p>
      <w:pPr>
        <w:spacing w:line="360" w:lineRule="auto"/>
        <w:ind w:firstLine="480" w:firstLineChars="200"/>
        <w:rPr>
          <w:rFonts w:ascii="宋体"/>
          <w:sz w:val="24"/>
        </w:rPr>
      </w:pPr>
      <w:r>
        <w:rPr>
          <w:rFonts w:ascii="宋体" w:hAnsi="宋体"/>
          <w:sz w:val="24"/>
        </w:rPr>
        <w:t>19.6</w:t>
      </w:r>
      <w:r>
        <w:rPr>
          <w:rFonts w:hint="eastAsia" w:ascii="宋体" w:hAnsi="宋体"/>
          <w:sz w:val="24"/>
        </w:rPr>
        <w:t>询价小组终止询价</w:t>
      </w:r>
    </w:p>
    <w:p>
      <w:pPr>
        <w:spacing w:line="360" w:lineRule="auto"/>
        <w:ind w:firstLine="480" w:firstLineChars="200"/>
        <w:rPr>
          <w:rFonts w:ascii="宋体"/>
          <w:sz w:val="24"/>
        </w:rPr>
      </w:pPr>
      <w:r>
        <w:rPr>
          <w:rFonts w:ascii="宋体" w:hAnsi="宋体"/>
          <w:sz w:val="24"/>
        </w:rPr>
        <w:t>19.6.1</w:t>
      </w:r>
      <w:r>
        <w:rPr>
          <w:rFonts w:hint="eastAsia" w:ascii="宋体" w:hAnsi="宋体"/>
          <w:sz w:val="24"/>
        </w:rPr>
        <w:t>出现下列情形之一的，采购人或者采购代理机构应当终止询价采购活动，发布项目终止公告并说明原因，重新开展采购活动：</w:t>
      </w:r>
    </w:p>
    <w:p>
      <w:pPr>
        <w:spacing w:line="360" w:lineRule="auto"/>
        <w:ind w:firstLine="480" w:firstLineChars="200"/>
        <w:rPr>
          <w:rFonts w:ascii="宋体"/>
          <w:sz w:val="24"/>
        </w:rPr>
      </w:pPr>
      <w:r>
        <w:rPr>
          <w:rFonts w:hint="eastAsia" w:ascii="宋体" w:hAnsi="宋体"/>
          <w:sz w:val="24"/>
        </w:rPr>
        <w:t>（一）因情况变化，不再符合规定的询价采购方式适用情形的；</w:t>
      </w:r>
    </w:p>
    <w:p>
      <w:pPr>
        <w:spacing w:line="360" w:lineRule="auto"/>
        <w:ind w:firstLine="480" w:firstLineChars="200"/>
        <w:rPr>
          <w:rFonts w:ascii="宋体"/>
          <w:sz w:val="24"/>
        </w:rPr>
      </w:pPr>
      <w:r>
        <w:rPr>
          <w:rFonts w:hint="eastAsia" w:ascii="宋体" w:hAnsi="宋体"/>
          <w:sz w:val="24"/>
        </w:rPr>
        <w:t>（二）出现影响采购公正的违法、违规行为的；</w:t>
      </w:r>
    </w:p>
    <w:p>
      <w:pPr>
        <w:spacing w:line="360" w:lineRule="auto"/>
        <w:ind w:firstLine="480" w:firstLineChars="200"/>
        <w:rPr>
          <w:rFonts w:ascii="宋体"/>
          <w:sz w:val="24"/>
        </w:rPr>
      </w:pPr>
      <w:r>
        <w:rPr>
          <w:rFonts w:hint="eastAsia" w:ascii="宋体" w:hAnsi="宋体"/>
          <w:sz w:val="24"/>
        </w:rPr>
        <w:t>（三）实质性响应询价通知书要求的供应商不足三家</w:t>
      </w:r>
      <w:r>
        <w:rPr>
          <w:rFonts w:hint="eastAsia" w:ascii="宋体" w:hAnsi="宋体"/>
          <w:b/>
          <w:sz w:val="24"/>
        </w:rPr>
        <w:t>。</w:t>
      </w:r>
    </w:p>
    <w:p>
      <w:pPr>
        <w:spacing w:line="360" w:lineRule="auto"/>
        <w:ind w:firstLine="480" w:firstLineChars="200"/>
        <w:jc w:val="left"/>
        <w:rPr>
          <w:rFonts w:ascii="宋体"/>
          <w:sz w:val="24"/>
        </w:rPr>
      </w:pPr>
      <w:r>
        <w:rPr>
          <w:rFonts w:ascii="宋体" w:hAnsi="宋体"/>
          <w:sz w:val="24"/>
        </w:rPr>
        <w:t>19.6.2</w:t>
      </w:r>
      <w:r>
        <w:rPr>
          <w:rFonts w:hint="eastAsia" w:ascii="宋体" w:hAnsi="宋体"/>
          <w:sz w:val="24"/>
        </w:rPr>
        <w:t>询价终止后，除因重大变故，采购任务取消外，采购人或采购代理机构将择期或另择方式进行该项目货物和服务的采购。</w:t>
      </w:r>
    </w:p>
    <w:p>
      <w:pPr>
        <w:spacing w:line="360" w:lineRule="auto"/>
        <w:ind w:firstLine="482" w:firstLineChars="200"/>
        <w:rPr>
          <w:rFonts w:ascii="宋体"/>
          <w:b/>
          <w:sz w:val="24"/>
        </w:rPr>
      </w:pPr>
      <w:r>
        <w:rPr>
          <w:rFonts w:ascii="宋体" w:hAnsi="宋体"/>
          <w:b/>
          <w:sz w:val="24"/>
        </w:rPr>
        <w:t xml:space="preserve">19.7 </w:t>
      </w:r>
      <w:r>
        <w:rPr>
          <w:rFonts w:hint="eastAsia" w:ascii="宋体" w:hAnsi="宋体"/>
          <w:b/>
          <w:sz w:val="24"/>
        </w:rPr>
        <w:t>评审标准和成交原则：</w:t>
      </w:r>
    </w:p>
    <w:p>
      <w:pPr>
        <w:spacing w:line="360" w:lineRule="auto"/>
        <w:ind w:firstLine="480" w:firstLineChars="200"/>
        <w:rPr>
          <w:sz w:val="24"/>
        </w:rPr>
      </w:pPr>
      <w:r>
        <w:rPr>
          <w:rFonts w:hint="eastAsia" w:ascii="嫤疓B2312" w:hAnsi="宋体" w:eastAsia="嫤疓B2312" w:cs="宋体"/>
          <w:kern w:val="0"/>
          <w:sz w:val="24"/>
        </w:rPr>
        <w:t>询价小组将从质量和服务均能满足采购文件实质性响应要求的供应商中，</w:t>
      </w:r>
      <w:r>
        <w:rPr>
          <w:rFonts w:hint="eastAsia"/>
          <w:sz w:val="24"/>
        </w:rPr>
        <w:t>根据</w:t>
      </w:r>
      <w:r>
        <w:rPr>
          <w:rFonts w:hint="eastAsia"/>
          <w:sz w:val="24"/>
          <w:lang w:val="en-US" w:eastAsia="zh-CN"/>
        </w:rPr>
        <w:t>合同包</w:t>
      </w:r>
      <w:r>
        <w:rPr>
          <w:rFonts w:hint="eastAsia"/>
          <w:sz w:val="24"/>
        </w:rPr>
        <w:t>供应商报价按照价格由低到高的顺序推荐</w:t>
      </w:r>
      <w:r>
        <w:rPr>
          <w:sz w:val="24"/>
        </w:rPr>
        <w:t>1</w:t>
      </w:r>
      <w:r>
        <w:rPr>
          <w:rFonts w:hint="eastAsia"/>
          <w:sz w:val="24"/>
        </w:rPr>
        <w:t>名</w:t>
      </w:r>
      <w:r>
        <w:rPr>
          <w:rFonts w:hint="eastAsia"/>
          <w:sz w:val="24"/>
          <w:lang w:eastAsia="zh-CN"/>
        </w:rPr>
        <w:t>成交供应商</w:t>
      </w:r>
      <w:r>
        <w:rPr>
          <w:rFonts w:hint="eastAsia"/>
          <w:sz w:val="24"/>
        </w:rPr>
        <w:t>。</w:t>
      </w:r>
      <w:r>
        <w:rPr>
          <w:rFonts w:hint="eastAsia"/>
          <w:sz w:val="24"/>
          <w:lang w:val="en-US" w:eastAsia="zh-CN"/>
        </w:rPr>
        <w:t>最低报价</w:t>
      </w:r>
      <w:r>
        <w:rPr>
          <w:rFonts w:hint="eastAsia"/>
          <w:sz w:val="24"/>
        </w:rPr>
        <w:t>相同的</w:t>
      </w:r>
      <w:r>
        <w:rPr>
          <w:rFonts w:hint="eastAsia" w:ascii="宋体" w:hAnsi="宋体" w:cs="宋体"/>
          <w:spacing w:val="-2"/>
          <w:kern w:val="0"/>
          <w:sz w:val="24"/>
        </w:rPr>
        <w:t>，由采购人随机抽取方式确定前后顺序，</w:t>
      </w:r>
      <w:r>
        <w:rPr>
          <w:rFonts w:hint="eastAsia" w:ascii="宋体" w:hAnsi="宋体" w:cs="宋体"/>
          <w:spacing w:val="-2"/>
          <w:kern w:val="0"/>
          <w:sz w:val="24"/>
          <w:lang w:eastAsia="zh-CN"/>
        </w:rPr>
        <w:t>供应商</w:t>
      </w:r>
      <w:r>
        <w:rPr>
          <w:rFonts w:hint="eastAsia" w:ascii="宋体" w:hAnsi="宋体" w:cs="宋体"/>
          <w:spacing w:val="-2"/>
          <w:kern w:val="0"/>
          <w:sz w:val="24"/>
        </w:rPr>
        <w:t>法定代表人（或其委托代理人）应当到场并对抽取结果签字确认，未在规定时间（接到通知后半小时）内到场，视为自动</w:t>
      </w:r>
      <w:r>
        <w:rPr>
          <w:rFonts w:hint="eastAsia" w:ascii="宋体" w:hAnsi="宋体" w:cs="宋体"/>
          <w:spacing w:val="-2"/>
          <w:kern w:val="0"/>
          <w:sz w:val="24"/>
          <w:lang w:eastAsia="zh-CN"/>
        </w:rPr>
        <w:t>默认结果</w:t>
      </w:r>
      <w:r>
        <w:rPr>
          <w:rFonts w:hint="eastAsia" w:ascii="宋体" w:hAnsi="宋体" w:cs="宋体"/>
          <w:spacing w:val="-2"/>
          <w:kern w:val="0"/>
          <w:sz w:val="24"/>
        </w:rPr>
        <w:t>。</w:t>
      </w:r>
    </w:p>
    <w:p>
      <w:pPr>
        <w:pStyle w:val="5"/>
        <w:numPr>
          <w:ilvl w:val="1"/>
          <w:numId w:val="0"/>
        </w:numPr>
      </w:pPr>
      <w:bookmarkStart w:id="45" w:name="_Toc4507"/>
      <w:bookmarkStart w:id="46" w:name="_Toc9595"/>
      <w:bookmarkStart w:id="47" w:name="_Toc28780"/>
      <w:r>
        <w:rPr>
          <w:rFonts w:hint="eastAsia"/>
        </w:rPr>
        <w:t>六、</w:t>
      </w:r>
      <w:r>
        <w:t xml:space="preserve"> </w:t>
      </w:r>
      <w:r>
        <w:rPr>
          <w:rFonts w:hint="eastAsia"/>
        </w:rPr>
        <w:t>确定成交供应商与签订合同</w:t>
      </w:r>
      <w:bookmarkEnd w:id="45"/>
      <w:bookmarkEnd w:id="46"/>
      <w:bookmarkEnd w:id="47"/>
    </w:p>
    <w:p>
      <w:pPr>
        <w:spacing w:line="360" w:lineRule="auto"/>
        <w:ind w:firstLine="480" w:firstLineChars="200"/>
        <w:rPr>
          <w:rFonts w:ascii="宋体"/>
          <w:sz w:val="24"/>
        </w:rPr>
      </w:pPr>
      <w:r>
        <w:rPr>
          <w:rFonts w:ascii="宋体" w:hAnsi="宋体"/>
          <w:sz w:val="24"/>
        </w:rPr>
        <w:t>20</w:t>
      </w:r>
      <w:r>
        <w:rPr>
          <w:rFonts w:ascii="宋体"/>
          <w:sz w:val="24"/>
        </w:rPr>
        <w:t>.</w:t>
      </w:r>
      <w:r>
        <w:rPr>
          <w:rFonts w:hint="eastAsia" w:ascii="宋体" w:hAnsi="宋体"/>
          <w:sz w:val="24"/>
        </w:rPr>
        <w:t>确定成交供应商准则</w:t>
      </w:r>
    </w:p>
    <w:p>
      <w:pPr>
        <w:spacing w:line="360" w:lineRule="auto"/>
        <w:ind w:firstLine="480" w:firstLineChars="200"/>
        <w:rPr>
          <w:rFonts w:ascii="宋体"/>
          <w:sz w:val="24"/>
        </w:rPr>
      </w:pPr>
      <w:r>
        <w:rPr>
          <w:rFonts w:ascii="宋体" w:hAnsi="宋体"/>
          <w:sz w:val="24"/>
        </w:rPr>
        <w:t>20.1</w:t>
      </w:r>
      <w:r>
        <w:rPr>
          <w:rFonts w:hint="eastAsia" w:ascii="宋体" w:hAnsi="宋体"/>
          <w:sz w:val="24"/>
        </w:rPr>
        <w:t>最低投报价不作为成交供应商的保证。</w:t>
      </w:r>
    </w:p>
    <w:p>
      <w:pPr>
        <w:spacing w:line="360" w:lineRule="auto"/>
        <w:ind w:firstLine="480" w:firstLineChars="200"/>
        <w:rPr>
          <w:rFonts w:ascii="宋体"/>
          <w:sz w:val="24"/>
        </w:rPr>
      </w:pPr>
      <w:r>
        <w:rPr>
          <w:rFonts w:ascii="宋体" w:hAnsi="宋体"/>
          <w:sz w:val="24"/>
        </w:rPr>
        <w:t>20</w:t>
      </w:r>
      <w:r>
        <w:rPr>
          <w:rFonts w:ascii="宋体"/>
          <w:sz w:val="24"/>
        </w:rPr>
        <w:t>.</w:t>
      </w:r>
      <w:r>
        <w:rPr>
          <w:rFonts w:ascii="宋体" w:hAnsi="宋体"/>
          <w:sz w:val="24"/>
        </w:rPr>
        <w:t>2</w:t>
      </w:r>
      <w:r>
        <w:rPr>
          <w:rFonts w:hint="eastAsia" w:ascii="宋体" w:hAnsi="宋体"/>
          <w:sz w:val="24"/>
        </w:rPr>
        <w:t>询价供应商的询价响应文件符合询价通知书要求，按询价通知书确定评审标准、方法，经评委评审并推荐为成交候选供应商。</w:t>
      </w:r>
    </w:p>
    <w:p>
      <w:pPr>
        <w:spacing w:line="360" w:lineRule="auto"/>
        <w:ind w:firstLine="480" w:firstLineChars="200"/>
        <w:rPr>
          <w:rFonts w:ascii="宋体"/>
          <w:sz w:val="24"/>
        </w:rPr>
      </w:pPr>
      <w:r>
        <w:rPr>
          <w:rFonts w:ascii="宋体" w:hAnsi="宋体"/>
          <w:sz w:val="24"/>
        </w:rPr>
        <w:t xml:space="preserve">21. </w:t>
      </w:r>
      <w:r>
        <w:rPr>
          <w:rFonts w:hint="eastAsia" w:ascii="宋体" w:hAnsi="宋体"/>
          <w:sz w:val="24"/>
        </w:rPr>
        <w:t>成交通知</w:t>
      </w:r>
    </w:p>
    <w:p>
      <w:pPr>
        <w:spacing w:line="360" w:lineRule="auto"/>
        <w:ind w:firstLine="480" w:firstLineChars="200"/>
        <w:rPr>
          <w:rFonts w:ascii="宋体"/>
          <w:sz w:val="24"/>
        </w:rPr>
      </w:pPr>
      <w:r>
        <w:rPr>
          <w:rFonts w:ascii="宋体" w:hAnsi="宋体"/>
          <w:sz w:val="24"/>
        </w:rPr>
        <w:t>21.1</w:t>
      </w:r>
      <w:r>
        <w:rPr>
          <w:rFonts w:hint="eastAsia" w:ascii="宋体" w:hAnsi="宋体"/>
          <w:sz w:val="24"/>
        </w:rPr>
        <w:t>评审结束，采购人确定成交供应商后，招标代理机构在</w:t>
      </w:r>
      <w:r>
        <w:rPr>
          <w:rFonts w:hint="eastAsia" w:ascii="宋体" w:hAnsi="宋体"/>
          <w:sz w:val="24"/>
          <w:lang w:val="en-US" w:eastAsia="zh-CN"/>
        </w:rPr>
        <w:t>采购人公示栏</w:t>
      </w:r>
      <w:r>
        <w:rPr>
          <w:rFonts w:hint="eastAsia" w:ascii="宋体" w:hAnsi="宋体"/>
          <w:sz w:val="24"/>
        </w:rPr>
        <w:t>上对成交结果进行公示，并向成交供应商发出成交通知书。成交通知书对采购人和成交供应商具有同等法律效力。成交通知书发出后，采购人改变成交结果，或者成交供应商放弃成交，应按相关法律、规章、规范性文件的规定承担相应的法律责任。</w:t>
      </w:r>
    </w:p>
    <w:p>
      <w:pPr>
        <w:spacing w:line="360" w:lineRule="auto"/>
        <w:ind w:firstLine="480" w:firstLineChars="200"/>
        <w:rPr>
          <w:rFonts w:ascii="宋体"/>
          <w:sz w:val="24"/>
        </w:rPr>
      </w:pPr>
      <w:r>
        <w:rPr>
          <w:rFonts w:ascii="宋体" w:hAnsi="宋体"/>
          <w:sz w:val="24"/>
        </w:rPr>
        <w:t xml:space="preserve">21.2  </w:t>
      </w:r>
      <w:r>
        <w:rPr>
          <w:rFonts w:hint="eastAsia" w:ascii="宋体" w:hAnsi="宋体"/>
          <w:sz w:val="24"/>
        </w:rPr>
        <w:t>《成交通知书》将作为签订合同的依据。《合同》签订后，《成交通知书》成为《合同》的一部分。</w:t>
      </w:r>
    </w:p>
    <w:p>
      <w:pPr>
        <w:spacing w:line="360" w:lineRule="auto"/>
        <w:ind w:firstLine="480" w:firstLineChars="200"/>
        <w:rPr>
          <w:rFonts w:ascii="宋体"/>
          <w:sz w:val="24"/>
        </w:rPr>
      </w:pPr>
      <w:r>
        <w:rPr>
          <w:rFonts w:ascii="宋体" w:hAnsi="宋体"/>
          <w:sz w:val="24"/>
        </w:rPr>
        <w:t>21</w:t>
      </w:r>
      <w:r>
        <w:rPr>
          <w:rFonts w:ascii="宋体"/>
          <w:sz w:val="24"/>
        </w:rPr>
        <w:t>.</w:t>
      </w:r>
      <w:r>
        <w:rPr>
          <w:rFonts w:ascii="宋体" w:hAnsi="宋体"/>
          <w:sz w:val="24"/>
        </w:rPr>
        <w:t>3</w:t>
      </w:r>
      <w:r>
        <w:rPr>
          <w:rFonts w:hint="eastAsia" w:ascii="宋体" w:hAnsi="宋体"/>
          <w:sz w:val="24"/>
        </w:rPr>
        <w:t>《成交通知书》发出后</w:t>
      </w:r>
      <w:r>
        <w:rPr>
          <w:rFonts w:ascii="宋体" w:hAnsi="宋体"/>
          <w:sz w:val="24"/>
        </w:rPr>
        <w:t>5</w:t>
      </w:r>
      <w:r>
        <w:rPr>
          <w:rFonts w:hint="eastAsia" w:ascii="宋体" w:hAnsi="宋体"/>
          <w:sz w:val="24"/>
        </w:rPr>
        <w:t>个工作日内，招标代理机构以原缴交方式向未成交的询价供应商退还其询价保证金。</w:t>
      </w:r>
    </w:p>
    <w:p>
      <w:pPr>
        <w:pStyle w:val="70"/>
        <w:spacing w:line="360" w:lineRule="auto"/>
        <w:ind w:firstLine="480" w:firstLineChars="200"/>
        <w:rPr>
          <w:rFonts w:hAnsi="宋体"/>
          <w:color w:val="auto"/>
        </w:rPr>
      </w:pPr>
      <w:r>
        <w:rPr>
          <w:rFonts w:hAnsi="宋体"/>
          <w:bCs/>
          <w:color w:val="auto"/>
        </w:rPr>
        <w:t>22</w:t>
      </w:r>
      <w:r>
        <w:rPr>
          <w:rFonts w:hAnsi="宋体"/>
          <w:color w:val="auto"/>
        </w:rPr>
        <w:t>.</w:t>
      </w:r>
      <w:r>
        <w:rPr>
          <w:rFonts w:hint="eastAsia" w:hAnsi="宋体"/>
          <w:color w:val="auto"/>
        </w:rPr>
        <w:t>签订合同</w:t>
      </w:r>
    </w:p>
    <w:p>
      <w:pPr>
        <w:spacing w:before="120" w:line="360" w:lineRule="auto"/>
        <w:ind w:firstLine="480" w:firstLineChars="200"/>
        <w:rPr>
          <w:rFonts w:ascii="宋体"/>
          <w:sz w:val="24"/>
        </w:rPr>
      </w:pPr>
      <w:r>
        <w:rPr>
          <w:rFonts w:ascii="宋体" w:hAnsi="宋体"/>
          <w:sz w:val="24"/>
        </w:rPr>
        <w:t>22</w:t>
      </w:r>
      <w:r>
        <w:rPr>
          <w:rFonts w:ascii="宋体"/>
          <w:sz w:val="24"/>
        </w:rPr>
        <w:t>.</w:t>
      </w:r>
      <w:r>
        <w:rPr>
          <w:rFonts w:ascii="宋体" w:hAnsi="宋体"/>
          <w:sz w:val="24"/>
        </w:rPr>
        <w:t>1</w:t>
      </w:r>
      <w:r>
        <w:rPr>
          <w:rFonts w:hint="eastAsia" w:ascii="宋体" w:hAnsi="宋体"/>
          <w:sz w:val="24"/>
        </w:rPr>
        <w:t>采购人、成交供应商在《成交通知书》发出之日起</w:t>
      </w:r>
      <w:r>
        <w:rPr>
          <w:rFonts w:hint="eastAsia" w:ascii="宋体" w:hAnsi="宋体"/>
          <w:sz w:val="24"/>
          <w:lang w:val="en-US" w:eastAsia="zh-CN"/>
        </w:rPr>
        <w:t>30</w:t>
      </w:r>
      <w:r>
        <w:rPr>
          <w:rFonts w:hint="eastAsia" w:ascii="宋体" w:hAnsi="宋体"/>
          <w:sz w:val="24"/>
        </w:rPr>
        <w:t>天内，根据询价通知书确定的事项和成交供应商询价响应文件，参照本询价通知书第四章的《合同》文本签订合同。双方所签订的合同不得对询价通知书和成交供应商询价响应文件作实质性修改。逾期未签订合同，按照有关法律规定承担相应的法律责任；招标代理机构将没收询价保证金，以抵偿对采购人造成的损失。采购人逾期不与成交供应商签订合同的，按政府采购的有关规定处理。</w:t>
      </w:r>
    </w:p>
    <w:p>
      <w:pPr>
        <w:spacing w:before="120" w:line="460" w:lineRule="exact"/>
        <w:ind w:firstLine="480" w:firstLineChars="200"/>
        <w:rPr>
          <w:rFonts w:ascii="宋体"/>
          <w:sz w:val="24"/>
        </w:rPr>
      </w:pPr>
      <w:r>
        <w:rPr>
          <w:rFonts w:ascii="宋体" w:hAnsi="宋体"/>
          <w:sz w:val="24"/>
        </w:rPr>
        <w:t>22</w:t>
      </w:r>
      <w:r>
        <w:rPr>
          <w:rFonts w:ascii="宋体"/>
          <w:sz w:val="24"/>
        </w:rPr>
        <w:t>.</w:t>
      </w:r>
      <w:r>
        <w:rPr>
          <w:rFonts w:ascii="宋体" w:hAnsi="宋体"/>
          <w:sz w:val="24"/>
        </w:rPr>
        <w:t>2</w:t>
      </w:r>
      <w:r>
        <w:rPr>
          <w:rFonts w:hint="eastAsia" w:ascii="宋体" w:hAnsi="宋体"/>
          <w:sz w:val="24"/>
        </w:rPr>
        <w:t>询价通知书、询价通知书的修改文件、成交供应商的询价响应文件、补充或修改的文件及澄清或承诺文件等，均为双方签订《合同》的组成部分，并与《合同》一并作为本询价通知书所列采购项目的互补性法律文件，与《合同》具有同等法律效力。</w:t>
      </w:r>
    </w:p>
    <w:p>
      <w:pPr>
        <w:spacing w:before="120" w:line="460" w:lineRule="exact"/>
        <w:ind w:firstLine="480" w:firstLineChars="200"/>
        <w:rPr>
          <w:rFonts w:ascii="宋体"/>
          <w:sz w:val="24"/>
        </w:rPr>
      </w:pPr>
      <w:r>
        <w:rPr>
          <w:rFonts w:ascii="宋体" w:hAnsi="宋体"/>
          <w:sz w:val="24"/>
        </w:rPr>
        <w:t>22</w:t>
      </w:r>
      <w:r>
        <w:rPr>
          <w:rFonts w:ascii="宋体"/>
          <w:sz w:val="24"/>
        </w:rPr>
        <w:t>.</w:t>
      </w:r>
      <w:r>
        <w:rPr>
          <w:rFonts w:ascii="宋体" w:hAnsi="宋体"/>
          <w:sz w:val="24"/>
        </w:rPr>
        <w:t>3</w:t>
      </w:r>
      <w:r>
        <w:rPr>
          <w:rFonts w:hint="eastAsia" w:ascii="宋体" w:hAnsi="宋体"/>
          <w:sz w:val="24"/>
        </w:rPr>
        <w:t>采购人在合同履行中，需追加与合同标的相同的货物或者服务的，在不改变合同其他条款的前提下，可与成交供应商协商签订补充合同，但所有补充合同的采购金额不得超过原合同采购金额的百分之十。</w:t>
      </w:r>
      <w:r>
        <w:rPr>
          <w:rFonts w:ascii="宋体" w:hAnsi="宋体"/>
          <w:sz w:val="24"/>
        </w:rPr>
        <w:t xml:space="preserve"> </w:t>
      </w:r>
    </w:p>
    <w:p>
      <w:pPr>
        <w:spacing w:before="120" w:line="460" w:lineRule="exact"/>
        <w:ind w:firstLine="480" w:firstLineChars="200"/>
        <w:rPr>
          <w:rFonts w:ascii="宋体"/>
          <w:sz w:val="24"/>
        </w:rPr>
      </w:pPr>
      <w:r>
        <w:rPr>
          <w:rFonts w:ascii="宋体" w:hAnsi="宋体"/>
          <w:sz w:val="24"/>
        </w:rPr>
        <w:t>22</w:t>
      </w:r>
      <w:r>
        <w:rPr>
          <w:rFonts w:ascii="宋体"/>
          <w:sz w:val="24"/>
        </w:rPr>
        <w:t>.</w:t>
      </w:r>
      <w:r>
        <w:rPr>
          <w:rFonts w:ascii="宋体" w:hAnsi="宋体"/>
          <w:sz w:val="24"/>
        </w:rPr>
        <w:t>4</w:t>
      </w:r>
      <w:r>
        <w:rPr>
          <w:rFonts w:hint="eastAsia" w:ascii="宋体" w:hAnsi="宋体"/>
          <w:sz w:val="24"/>
        </w:rPr>
        <w:t>成交供应商因不可抗力或者自身原因不能履行政府采购合同的，采购人可以与排位在成交供应商之后第一位的成交候选供应商签订政府采购合同，以此类推。</w:t>
      </w:r>
    </w:p>
    <w:p>
      <w:pPr>
        <w:spacing w:before="120" w:line="460" w:lineRule="exact"/>
        <w:ind w:firstLine="480" w:firstLineChars="200"/>
        <w:rPr>
          <w:rFonts w:ascii="宋体"/>
          <w:sz w:val="24"/>
        </w:rPr>
      </w:pPr>
      <w:r>
        <w:rPr>
          <w:rFonts w:ascii="宋体" w:hAnsi="宋体"/>
          <w:sz w:val="24"/>
        </w:rPr>
        <w:t>23.</w:t>
      </w:r>
      <w:r>
        <w:rPr>
          <w:rFonts w:hint="eastAsia" w:ascii="宋体" w:hAnsi="宋体"/>
          <w:sz w:val="24"/>
        </w:rPr>
        <w:t>询价项目行政监督部门</w:t>
      </w:r>
    </w:p>
    <w:p>
      <w:pPr>
        <w:spacing w:before="120" w:line="460" w:lineRule="exact"/>
        <w:ind w:firstLine="480" w:firstLineChars="200"/>
        <w:rPr>
          <w:rFonts w:ascii="宋体"/>
          <w:sz w:val="24"/>
        </w:rPr>
      </w:pPr>
      <w:r>
        <w:rPr>
          <w:rFonts w:ascii="宋体" w:hAnsi="宋体"/>
          <w:sz w:val="24"/>
        </w:rPr>
        <w:t>23.1</w:t>
      </w:r>
      <w:r>
        <w:rPr>
          <w:rFonts w:hint="eastAsia" w:ascii="宋体" w:hAnsi="宋体"/>
          <w:sz w:val="24"/>
        </w:rPr>
        <w:t>询价项目行政监督部门可视情况依法派员对本采购活动的全程进行监督。</w:t>
      </w:r>
    </w:p>
    <w:p>
      <w:pPr>
        <w:pStyle w:val="5"/>
        <w:numPr>
          <w:ilvl w:val="1"/>
          <w:numId w:val="0"/>
        </w:numPr>
      </w:pPr>
      <w:bookmarkStart w:id="48" w:name="_Toc4478"/>
      <w:bookmarkStart w:id="49" w:name="_Toc22371"/>
      <w:bookmarkStart w:id="50" w:name="_Toc23375"/>
      <w:r>
        <w:rPr>
          <w:rFonts w:hint="eastAsia"/>
        </w:rPr>
        <w:t>七</w:t>
      </w:r>
      <w:r>
        <w:t xml:space="preserve"> </w:t>
      </w:r>
      <w:r>
        <w:rPr>
          <w:rFonts w:hint="eastAsia"/>
        </w:rPr>
        <w:t>、质疑与投诉</w:t>
      </w:r>
      <w:bookmarkEnd w:id="48"/>
      <w:bookmarkEnd w:id="49"/>
      <w:bookmarkEnd w:id="50"/>
    </w:p>
    <w:p>
      <w:pPr>
        <w:spacing w:line="460" w:lineRule="exact"/>
        <w:ind w:firstLine="480" w:firstLineChars="200"/>
        <w:rPr>
          <w:rFonts w:ascii="宋体"/>
          <w:sz w:val="24"/>
        </w:rPr>
      </w:pPr>
      <w:r>
        <w:rPr>
          <w:rFonts w:ascii="宋体" w:hAnsi="宋体"/>
          <w:sz w:val="24"/>
        </w:rPr>
        <w:t>24.</w:t>
      </w:r>
      <w:r>
        <w:rPr>
          <w:rFonts w:hint="eastAsia" w:ascii="宋体" w:hAnsi="宋体"/>
          <w:sz w:val="24"/>
        </w:rPr>
        <w:t>质疑</w:t>
      </w:r>
    </w:p>
    <w:p>
      <w:pPr>
        <w:spacing w:line="460" w:lineRule="exact"/>
        <w:ind w:firstLine="480" w:firstLineChars="200"/>
        <w:rPr>
          <w:rFonts w:ascii="宋体"/>
          <w:sz w:val="24"/>
        </w:rPr>
      </w:pPr>
      <w:r>
        <w:rPr>
          <w:rFonts w:ascii="宋体" w:hAnsi="宋体"/>
          <w:sz w:val="24"/>
        </w:rPr>
        <w:t>24.1</w:t>
      </w:r>
      <w:r>
        <w:rPr>
          <w:rFonts w:hint="eastAsia" w:ascii="宋体" w:hAnsi="宋体"/>
          <w:sz w:val="24"/>
        </w:rPr>
        <w:t>供应商对询价事项有疑问的，可以向采购单位或招标代理机构提出询问。</w:t>
      </w:r>
    </w:p>
    <w:p>
      <w:pPr>
        <w:spacing w:line="460" w:lineRule="exact"/>
        <w:ind w:firstLine="480" w:firstLineChars="200"/>
        <w:rPr>
          <w:rFonts w:ascii="宋体"/>
          <w:sz w:val="24"/>
        </w:rPr>
      </w:pPr>
      <w:r>
        <w:rPr>
          <w:rFonts w:ascii="宋体" w:hAnsi="宋体"/>
          <w:sz w:val="24"/>
        </w:rPr>
        <w:t>24.2</w:t>
      </w:r>
      <w:r>
        <w:rPr>
          <w:rFonts w:hint="eastAsia" w:ascii="宋体" w:hAnsi="宋体"/>
          <w:sz w:val="24"/>
        </w:rPr>
        <w:t>询价供应商认为询价通知书使自己的合法权益受到损害的，可以在递交响应文件截止前</w:t>
      </w:r>
      <w:r>
        <w:rPr>
          <w:rFonts w:ascii="宋体" w:hAnsi="宋体"/>
          <w:sz w:val="24"/>
        </w:rPr>
        <w:t>2</w:t>
      </w:r>
      <w:r>
        <w:rPr>
          <w:rFonts w:hint="eastAsia" w:ascii="宋体" w:hAnsi="宋体"/>
          <w:sz w:val="24"/>
        </w:rPr>
        <w:t>个工作日前（正常上班时间），以书面形式向采购单位或招标代理机构提出质疑并要求作出答复。逾期则不予受理，视同接受本询价通知书的所有内容。</w:t>
      </w:r>
    </w:p>
    <w:p>
      <w:pPr>
        <w:spacing w:line="460" w:lineRule="exact"/>
        <w:ind w:firstLine="480" w:firstLineChars="200"/>
        <w:rPr>
          <w:rFonts w:ascii="宋体"/>
          <w:sz w:val="24"/>
        </w:rPr>
      </w:pPr>
      <w:r>
        <w:rPr>
          <w:rFonts w:ascii="宋体" w:hAnsi="宋体"/>
          <w:sz w:val="24"/>
        </w:rPr>
        <w:t>24.3</w:t>
      </w:r>
      <w:r>
        <w:rPr>
          <w:rFonts w:hint="eastAsia" w:ascii="宋体" w:hAnsi="宋体"/>
          <w:sz w:val="24"/>
        </w:rPr>
        <w:t>询价供应商认为询价过程和成交结果使自己的合法权益受到损害的，可以在采购结果公告之日（不包括当日）起</w:t>
      </w:r>
      <w:r>
        <w:rPr>
          <w:rFonts w:ascii="宋体" w:hAnsi="宋体"/>
          <w:sz w:val="24"/>
        </w:rPr>
        <w:t>7</w:t>
      </w:r>
      <w:r>
        <w:rPr>
          <w:rFonts w:hint="eastAsia" w:ascii="宋体" w:hAnsi="宋体"/>
          <w:sz w:val="24"/>
        </w:rPr>
        <w:t>个工作日内，以书面形式向采购单位或招标代理机构提出质疑并要求作出答复。逾期则不予受理，视同接受询价过程和采购结果。</w:t>
      </w:r>
    </w:p>
    <w:p>
      <w:pPr>
        <w:spacing w:line="460" w:lineRule="exact"/>
        <w:ind w:firstLine="480" w:firstLineChars="200"/>
        <w:rPr>
          <w:rFonts w:ascii="宋体"/>
          <w:sz w:val="24"/>
        </w:rPr>
      </w:pPr>
      <w:r>
        <w:rPr>
          <w:rFonts w:ascii="宋体" w:hAnsi="宋体"/>
          <w:sz w:val="24"/>
        </w:rPr>
        <w:t xml:space="preserve">24.4 </w:t>
      </w:r>
      <w:r>
        <w:rPr>
          <w:rFonts w:hint="eastAsia" w:ascii="宋体" w:hAnsi="宋体"/>
          <w:sz w:val="24"/>
        </w:rPr>
        <w:t>采购单位或招标代理机构将在收到书面质疑后的</w:t>
      </w:r>
      <w:r>
        <w:rPr>
          <w:rFonts w:hint="eastAsia" w:ascii="宋体" w:hAnsi="宋体"/>
          <w:sz w:val="24"/>
          <w:lang w:val="en-US" w:eastAsia="zh-CN"/>
        </w:rPr>
        <w:t>7</w:t>
      </w:r>
      <w:r>
        <w:rPr>
          <w:rFonts w:hint="eastAsia" w:ascii="宋体" w:hAnsi="宋体"/>
          <w:sz w:val="24"/>
        </w:rPr>
        <w:t>个工作日（不包括当日）内作出答复，并以书面形式通知质疑供应商和其他有关供应商，但答复的内容不涉及商业秘密。</w:t>
      </w:r>
    </w:p>
    <w:p>
      <w:pPr>
        <w:spacing w:line="460" w:lineRule="exact"/>
        <w:ind w:firstLine="480" w:firstLineChars="200"/>
        <w:rPr>
          <w:rFonts w:ascii="宋体"/>
          <w:sz w:val="24"/>
        </w:rPr>
      </w:pPr>
      <w:r>
        <w:rPr>
          <w:rFonts w:ascii="宋体" w:hAnsi="宋体"/>
          <w:sz w:val="24"/>
        </w:rPr>
        <w:t>25</w:t>
      </w:r>
      <w:r>
        <w:rPr>
          <w:rFonts w:hint="eastAsia" w:ascii="宋体" w:hAnsi="宋体"/>
          <w:sz w:val="24"/>
        </w:rPr>
        <w:t>．投诉</w:t>
      </w:r>
    </w:p>
    <w:p>
      <w:pPr>
        <w:spacing w:line="460" w:lineRule="exact"/>
        <w:ind w:firstLine="480" w:firstLineChars="200"/>
        <w:rPr>
          <w:rFonts w:ascii="宋体"/>
          <w:sz w:val="24"/>
        </w:rPr>
      </w:pPr>
      <w:r>
        <w:rPr>
          <w:rFonts w:ascii="宋体" w:hAnsi="宋体"/>
          <w:sz w:val="24"/>
        </w:rPr>
        <w:t xml:space="preserve"> </w:t>
      </w:r>
      <w:r>
        <w:rPr>
          <w:rFonts w:hint="eastAsia" w:ascii="宋体" w:hAnsi="宋体"/>
          <w:sz w:val="24"/>
        </w:rPr>
        <w:t>质疑供应商对采购单位或招标代理机构的答复不满意或采购单位或招标代理机构未在规定的时间内做出答复的，可以在答复期满后</w:t>
      </w:r>
      <w:r>
        <w:rPr>
          <w:rFonts w:ascii="宋体" w:hAnsi="宋体"/>
          <w:sz w:val="24"/>
        </w:rPr>
        <w:t>15</w:t>
      </w:r>
      <w:r>
        <w:rPr>
          <w:rFonts w:hint="eastAsia" w:ascii="宋体" w:hAnsi="宋体"/>
          <w:sz w:val="24"/>
        </w:rPr>
        <w:t>个工作日内向询价供应商须知前附表第</w:t>
      </w:r>
      <w:r>
        <w:rPr>
          <w:rFonts w:ascii="宋体" w:hAnsi="宋体"/>
          <w:sz w:val="24"/>
        </w:rPr>
        <w:t>8</w:t>
      </w:r>
      <w:r>
        <w:rPr>
          <w:rFonts w:hint="eastAsia" w:ascii="宋体" w:hAnsi="宋体"/>
          <w:sz w:val="24"/>
        </w:rPr>
        <w:t>项所述询价项目行政监督部门投诉。</w:t>
      </w:r>
    </w:p>
    <w:p>
      <w:pPr>
        <w:spacing w:line="460" w:lineRule="exact"/>
        <w:ind w:firstLine="480" w:firstLineChars="200"/>
        <w:rPr>
          <w:rFonts w:ascii="宋体"/>
          <w:sz w:val="24"/>
        </w:rPr>
      </w:pPr>
      <w:r>
        <w:rPr>
          <w:rFonts w:ascii="宋体" w:hAnsi="宋体"/>
          <w:sz w:val="24"/>
        </w:rPr>
        <w:t>26</w:t>
      </w:r>
      <w:r>
        <w:rPr>
          <w:rFonts w:hint="eastAsia" w:ascii="宋体" w:hAnsi="宋体"/>
          <w:sz w:val="24"/>
        </w:rPr>
        <w:t>质疑投诉人应保证质疑投诉的真实性和可靠性，并承担相应的法律责任。对捏造事实或者提供虚假投诉材料的，将被列入不良行为记录名单。处罚情况将在</w:t>
      </w:r>
      <w:r>
        <w:rPr>
          <w:rFonts w:hint="eastAsia" w:ascii="宋体" w:hAnsi="宋体"/>
          <w:b/>
          <w:color w:val="000000" w:themeColor="text1"/>
          <w:sz w:val="24"/>
          <w:lang w:eastAsia="zh-CN"/>
          <w14:textFill>
            <w14:solidFill>
              <w14:schemeClr w14:val="tx1"/>
            </w14:solidFill>
          </w14:textFill>
        </w:rPr>
        <w:t>龙岩城市发展集团有限公司官方网站（http://www.lycfjt.com/）、龙岩智发科技有限责任公司（https://zhifaly.com/）</w:t>
      </w:r>
      <w:r>
        <w:rPr>
          <w:rFonts w:hint="eastAsia" w:ascii="宋体" w:hAnsi="宋体"/>
          <w:sz w:val="24"/>
        </w:rPr>
        <w:t>。</w:t>
      </w:r>
    </w:p>
    <w:p>
      <w:pPr>
        <w:rPr>
          <w:rFonts w:ascii="宋体"/>
          <w:sz w:val="24"/>
        </w:rPr>
      </w:pPr>
      <w:r>
        <w:rPr>
          <w:rFonts w:ascii="宋体"/>
          <w:sz w:val="24"/>
        </w:rPr>
        <w:br w:type="page"/>
      </w:r>
    </w:p>
    <w:p>
      <w:pPr>
        <w:pStyle w:val="4"/>
        <w:numPr>
          <w:ilvl w:val="0"/>
          <w:numId w:val="0"/>
        </w:numPr>
      </w:pPr>
      <w:bookmarkStart w:id="51" w:name="_Toc21675"/>
      <w:bookmarkStart w:id="52" w:name="_Toc19716"/>
      <w:bookmarkStart w:id="53" w:name="_Toc11527"/>
      <w:bookmarkStart w:id="54" w:name="_Toc18258"/>
      <w:r>
        <w:rPr>
          <w:rFonts w:hint="eastAsia"/>
        </w:rPr>
        <w:t>第三章</w:t>
      </w:r>
      <w:r>
        <w:t xml:space="preserve">  </w:t>
      </w:r>
      <w:r>
        <w:rPr>
          <w:rFonts w:hint="eastAsia"/>
        </w:rPr>
        <w:t>询价内容及要求</w:t>
      </w:r>
      <w:bookmarkEnd w:id="51"/>
      <w:bookmarkEnd w:id="52"/>
      <w:bookmarkEnd w:id="53"/>
      <w:bookmarkEnd w:id="54"/>
    </w:p>
    <w:p>
      <w:pPr>
        <w:spacing w:line="360" w:lineRule="auto"/>
        <w:ind w:firstLine="435"/>
        <w:outlineLvl w:val="1"/>
        <w:rPr>
          <w:rFonts w:ascii="宋体"/>
          <w:b/>
          <w:sz w:val="24"/>
        </w:rPr>
      </w:pPr>
      <w:bookmarkStart w:id="55" w:name="_Toc30872"/>
      <w:bookmarkStart w:id="56" w:name="_Toc1473"/>
      <w:r>
        <w:rPr>
          <w:rFonts w:hint="eastAsia" w:ascii="宋体" w:hAnsi="宋体"/>
          <w:b/>
          <w:sz w:val="24"/>
        </w:rPr>
        <w:t>一、项目内容</w:t>
      </w:r>
      <w:bookmarkEnd w:id="55"/>
      <w:bookmarkEnd w:id="56"/>
    </w:p>
    <w:p>
      <w:pPr>
        <w:spacing w:line="360" w:lineRule="auto"/>
        <w:ind w:firstLine="435"/>
        <w:rPr>
          <w:rFonts w:hint="eastAsia" w:ascii="宋体" w:eastAsia="宋体"/>
          <w:sz w:val="24"/>
          <w:lang w:eastAsia="zh-CN"/>
        </w:rPr>
      </w:pPr>
      <w:r>
        <w:rPr>
          <w:rFonts w:ascii="宋体" w:hAnsi="宋体"/>
          <w:sz w:val="24"/>
        </w:rPr>
        <w:t>1</w:t>
      </w:r>
      <w:r>
        <w:rPr>
          <w:rFonts w:hint="eastAsia" w:ascii="宋体" w:hAnsi="宋体"/>
          <w:sz w:val="24"/>
        </w:rPr>
        <w:t>、项目名称：</w:t>
      </w:r>
      <w:r>
        <w:rPr>
          <w:rFonts w:hint="eastAsia" w:ascii="宋体" w:hAnsi="宋体"/>
          <w:sz w:val="24"/>
          <w:lang w:val="en-US" w:eastAsia="zh-CN"/>
        </w:rPr>
        <w:t>龙岩智发科技智能化设备采购（二）</w:t>
      </w:r>
    </w:p>
    <w:p>
      <w:pPr>
        <w:spacing w:line="360" w:lineRule="auto"/>
        <w:ind w:firstLine="435"/>
        <w:rPr>
          <w:rFonts w:ascii="宋体"/>
          <w:sz w:val="24"/>
        </w:rPr>
      </w:pPr>
      <w:r>
        <w:rPr>
          <w:rFonts w:ascii="宋体" w:hAnsi="宋体"/>
          <w:sz w:val="24"/>
        </w:rPr>
        <w:t>2</w:t>
      </w:r>
      <w:r>
        <w:rPr>
          <w:rFonts w:hint="eastAsia" w:ascii="宋体" w:hAnsi="宋体"/>
          <w:sz w:val="24"/>
        </w:rPr>
        <w:t>、采购范围：</w:t>
      </w:r>
      <w:r>
        <w:rPr>
          <w:rFonts w:hint="eastAsia" w:ascii="宋体" w:hAnsi="宋体"/>
          <w:sz w:val="24"/>
          <w:lang w:val="en-US" w:eastAsia="zh-CN"/>
        </w:rPr>
        <w:t>龙岩智发科技智能化设备采购（二）的相关内容。</w:t>
      </w:r>
    </w:p>
    <w:p>
      <w:pPr>
        <w:spacing w:line="360" w:lineRule="auto"/>
        <w:ind w:firstLine="435"/>
        <w:rPr>
          <w:rFonts w:ascii="宋体"/>
          <w:sz w:val="24"/>
          <w:shd w:val="clear" w:color="auto" w:fill="FFFFFF"/>
        </w:rPr>
      </w:pPr>
      <w:r>
        <w:rPr>
          <w:rFonts w:ascii="宋体" w:hAnsi="宋体"/>
          <w:sz w:val="24"/>
        </w:rPr>
        <w:t>3</w:t>
      </w:r>
      <w:r>
        <w:rPr>
          <w:rFonts w:hint="eastAsia" w:ascii="宋体" w:hAnsi="宋体"/>
          <w:sz w:val="24"/>
        </w:rPr>
        <w:t>、采购标的一览表：</w:t>
      </w:r>
    </w:p>
    <w:p>
      <w:pPr>
        <w:pStyle w:val="6"/>
        <w:rPr>
          <w:rFonts w:hint="eastAsia" w:ascii="宋体"/>
          <w:lang w:val="en-US" w:eastAsia="zh-CN"/>
        </w:rPr>
      </w:pPr>
      <w:r>
        <w:rPr>
          <w:rFonts w:hint="eastAsia" w:ascii="宋体" w:hAnsi="宋体"/>
          <w:color w:val="auto"/>
          <w:sz w:val="24"/>
          <w:szCs w:val="24"/>
          <w:shd w:val="clear" w:color="auto" w:fill="FFFFFF"/>
        </w:rPr>
        <w:t>金额单位：人民币元</w:t>
      </w:r>
      <w:bookmarkStart w:id="57" w:name="_Hlk48470045"/>
    </w:p>
    <w:p>
      <w:pPr>
        <w:pStyle w:val="90"/>
        <w:wordWrap w:val="0"/>
        <w:ind w:firstLine="0" w:firstLineChars="0"/>
        <w:rPr>
          <w:rFonts w:hint="eastAsia" w:ascii="宋体" w:hAnsi="宋体" w:eastAsia="宋体" w:cs="宋体"/>
          <w:color w:val="auto"/>
          <w:lang w:val="en-US" w:eastAsia="zh-CN"/>
        </w:rPr>
      </w:pPr>
    </w:p>
    <w:p>
      <w:pPr>
        <w:pStyle w:val="90"/>
        <w:wordWrap w:val="0"/>
        <w:ind w:firstLine="0" w:firstLineChars="0"/>
        <w:rPr>
          <w:rFonts w:hint="eastAsia" w:ascii="宋体" w:hAnsi="宋体" w:eastAsia="宋体" w:cs="宋体"/>
          <w:color w:val="auto"/>
          <w:lang w:val="en-US" w:eastAsia="zh-CN"/>
        </w:rPr>
      </w:pPr>
    </w:p>
    <w:p>
      <w:pPr>
        <w:pStyle w:val="90"/>
        <w:wordWrap w:val="0"/>
        <w:ind w:firstLine="0" w:firstLineChars="0"/>
        <w:rPr>
          <w:rFonts w:hint="eastAsia" w:ascii="宋体" w:hAnsi="宋体" w:eastAsia="宋体" w:cs="宋体"/>
          <w:color w:val="auto"/>
          <w:lang w:val="en-US" w:eastAsia="zh-CN"/>
        </w:rPr>
        <w:sectPr>
          <w:pgSz w:w="11906" w:h="16838"/>
          <w:pgMar w:top="1440" w:right="1349" w:bottom="1440" w:left="1293" w:header="851" w:footer="992" w:gutter="0"/>
          <w:pgNumType w:fmt="decimal"/>
          <w:cols w:space="425" w:num="1"/>
          <w:docGrid w:type="lines" w:linePitch="312" w:charSpace="0"/>
        </w:sectPr>
      </w:pPr>
    </w:p>
    <w:tbl>
      <w:tblPr>
        <w:tblStyle w:val="30"/>
        <w:tblW w:w="140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9"/>
        <w:gridCol w:w="1296"/>
        <w:gridCol w:w="2024"/>
        <w:gridCol w:w="2738"/>
        <w:gridCol w:w="2297"/>
        <w:gridCol w:w="885"/>
        <w:gridCol w:w="780"/>
        <w:gridCol w:w="975"/>
        <w:gridCol w:w="111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2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材料/工艺</w:t>
            </w: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采购单价（元）</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长*宽</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数目</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AI数字党建设备与系统</w:t>
            </w: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党建微服务器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(带AI党建系统)</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IP-AIO-GP-H03</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32寸AI数字画屏智能终端</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IP-TU-PS-H32</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AI党建云盒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IP-TU-YH-01</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党建工具本（专业版）</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IP-TU-GJ-03</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55寸AI数字画屏智能终端</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画屏主题套装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工具本-党务资料素材库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安装调试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设计费</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部分线路移装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筑基篇</w:t>
            </w:r>
          </w:p>
        </w:tc>
        <w:tc>
          <w:tcPr>
            <w:tcW w:w="20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工艺墙底座</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实木底座+铝塑板、木工</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545*296cm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9493.68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 牢记使命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1684.32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1.5cm厚PVC板UV打印、激光雕刻</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67*140cm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众垚创意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5F+众垚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46cm+27cm*4+8cm*10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1029.60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筑基篇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龙岩地标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UV+0.4亚克力饰面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2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工作模式</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底板</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530*166cm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3629.18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工作模式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组织体系</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软膜箱体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56*98cm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9058.50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布艺</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96*64cm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党员权利</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 牢记使命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2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工作模式</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底板</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530*166cm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3629.18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工作模式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组织体系</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软膜箱体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56*98cm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宣誓墙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9058.50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布艺</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96*64cm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党员权利</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 牢记使命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公司简介</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墙面木作打底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沙滩金9mm多层实木板，+装饰边条；定制+安装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2.78X5米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5788.79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430*130cm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2305.88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LOGO+公司名称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18cm+8cm*24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一流团队</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众志成城+印章</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   活力   团结   进取</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公司简介</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征收业务</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磁吸箱体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磁吸箱体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1060.40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信息栏套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96"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电梯2出口</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墙面木作打底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沙滩金9mm多层实木板，+装饰边条；定制+安装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2.78X5米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5788.79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5568.75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众志成城</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1393.92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2221.56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122*270cm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1449.36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48+38+42+44cm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五角星</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弧度湾条</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29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43*100cm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墙面木作打底</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沙滩金9mm多层实木板，+装饰边条；定制+安装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2.96X5.51米</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416.46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6788.30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430*145cm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2571.94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公司名称+横线</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140*120cm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739.20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员工守则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130*120cm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686.40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49*79.5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205.15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10周年企业党建文化提炼，设计图展</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有声文化墙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有声文化墙</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广告饰面+二维码有声系统</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17111.6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17111.60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党建书屋</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木作+铝塑板+柜体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木作+铝塑板+柜体</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440*262cm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12186.25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博学善思</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求真务实</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读人生 修养之味+党徽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8cm*14+13cm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初心+使命</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50cm+61cm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549.45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菱形框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34+57+62+34cm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925.65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党建书屋</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龙岩地标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荣誉墙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木作+铝塑板+柜体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木作柜子+铝塑板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682*262cm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1248.5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22310.70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发扬冲冲冲工作风</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1346.40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 亚克力UV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31cm+21cm*4+6cm*9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我们的荣誉</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14cm*3+56cm+72cm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筑城篇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665*167cm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11.1055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4581.02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梦想聚团队</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品质成就未来</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144+130cm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亚克力照片盒子</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1260.05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共筑中国梦</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500*170cm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3506.25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共筑中国梦</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104*170cm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777.92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红旗飘带</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147*120cm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776.16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对党忠诚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三个心形</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2cm厚PVC板UV打印雕刻+裱水晶膜</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1359.60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筑廉篇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398*155cm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2544.71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树枝</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从严治党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两袖清风</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492.80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筑廉篇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扬清风正气</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646.80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木作格栅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102*260cm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1298.15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2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企业历程</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发展历程</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546*260cm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14.196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5855.85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546*50cm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1351.35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2012-2021</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2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26cm+44cm+12cm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筑福篇</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560*244cm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13.664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5636.40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福字</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筑福篇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员工风采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团队风采</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团队协作</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裱水晶膜</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软膜灯箱</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120*70cm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木作格栅</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格栅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108*260cm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1374.52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亚克力照片盒子</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亚克力+照片</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四个自信</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横条</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540*118cm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2698.54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花纹框</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1460.80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永远跟党走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24cm+15cm+7cm*3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捍卫两个确定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大会议室文化墙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标语</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347*161cm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5.5867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2304.51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众垚+合人而众  积土为垚</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60cm+80cm+76cm+76cm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1284.80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公告栏</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210*115cm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996.19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公告栏</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公告盒</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磁吸</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形象墙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42+20cm*4+5cm*10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1248.72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5227.20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形象墙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44+25cm*4+7cm*10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1553.64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 精工字</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4704.48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LOGO</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水晶字+钛金拉丝面板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23+13cm*4+4cm*10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834.90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公司名称</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水晶字+钛金拉丝面板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1038.18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工程部</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水晶字+钛金拉丝面板</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廉政文化</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664*156cm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4273.50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从严治党+不忘初心</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廉政文化</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在其位</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社会主义核心价值观文化墙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社会主义核心价值观</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532*135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7.182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2962.58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社会主义核心价值观</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21cm*7+66cm+48m+32cm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1289.20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富强</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2085.60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2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不忘初心文化墙</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1.5PVC  UV</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385*137cm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2173.88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29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0.4亚克力贴面</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44+24+35+34+40+26+40+38cm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1049.40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亚克力贴墙面风孔</w:t>
            </w:r>
          </w:p>
        </w:tc>
        <w:tc>
          <w:tcPr>
            <w:tcW w:w="2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6mm亚克力四周磨斜边+安装</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190*255cm</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4636.67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2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科室牌/人员去向牌</w:t>
            </w: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亚克力定制</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亚克力定制+安装</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10560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背景墙</w:t>
            </w: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标志</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钛金精工字</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53cm</w:t>
            </w: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大字</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钛金精工字</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30cm*13个</w:t>
            </w: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2831.40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小字</w:t>
            </w:r>
          </w:p>
        </w:tc>
        <w:tc>
          <w:tcPr>
            <w:tcW w:w="27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钛金精工字</w:t>
            </w:r>
          </w:p>
        </w:tc>
        <w:tc>
          <w:tcPr>
            <w:tcW w:w="22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15cm*9个</w:t>
            </w:r>
          </w:p>
        </w:tc>
        <w:tc>
          <w:tcPr>
            <w:tcW w:w="88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w:t>
            </w:r>
          </w:p>
        </w:tc>
        <w:tc>
          <w:tcPr>
            <w:tcW w:w="97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980.10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1624" w:type="dxa"/>
            <w:gridSpan w:val="8"/>
            <w:tcBorders>
              <w:top w:val="nil"/>
              <w:left w:val="nil"/>
              <w:bottom w:val="nil"/>
              <w:right w:val="nil"/>
            </w:tcBorders>
            <w:shd w:val="clear" w:color="auto" w:fill="auto"/>
            <w:noWrap/>
            <w:vAlign w:val="center"/>
          </w:tcPr>
          <w:p>
            <w:pPr>
              <w:jc w:val="left"/>
              <w:rPr>
                <w:rFonts w:hint="eastAsia" w:ascii="宋体" w:hAnsi="宋体" w:eastAsia="宋体" w:cs="宋体"/>
                <w:b/>
                <w:bCs/>
                <w:i w:val="0"/>
                <w:iCs w:val="0"/>
                <w:color w:val="000000"/>
                <w:sz w:val="32"/>
                <w:szCs w:val="32"/>
                <w:u w:val="none"/>
              </w:rPr>
            </w:pPr>
          </w:p>
        </w:tc>
        <w:tc>
          <w:tcPr>
            <w:tcW w:w="111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合计</w:t>
            </w:r>
          </w:p>
        </w:tc>
        <w:tc>
          <w:tcPr>
            <w:tcW w:w="13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500000 </w:t>
            </w:r>
          </w:p>
        </w:tc>
      </w:tr>
    </w:tbl>
    <w:p>
      <w:pPr>
        <w:pStyle w:val="2"/>
        <w:rPr>
          <w:rFonts w:hint="eastAsia"/>
        </w:rPr>
      </w:pPr>
    </w:p>
    <w:p>
      <w:pPr>
        <w:pStyle w:val="90"/>
        <w:wordWrap w:val="0"/>
        <w:ind w:firstLine="0" w:firstLineChars="0"/>
        <w:rPr>
          <w:rFonts w:ascii="宋体"/>
        </w:rPr>
      </w:pPr>
      <w:r>
        <w:rPr>
          <w:rFonts w:hint="eastAsia" w:ascii="宋体" w:hAnsi="宋体"/>
        </w:rPr>
        <w:t>注：</w:t>
      </w:r>
    </w:p>
    <w:p>
      <w:pPr>
        <w:pStyle w:val="90"/>
        <w:wordWrap w:val="0"/>
        <w:ind w:firstLine="0" w:firstLineChars="0"/>
        <w:rPr>
          <w:rFonts w:ascii="宋体" w:hAnsi="宋体"/>
        </w:rPr>
      </w:pPr>
      <w:r>
        <w:rPr>
          <w:rFonts w:hint="eastAsia" w:ascii="宋体" w:hAnsi="宋体"/>
        </w:rPr>
        <w:t>1、本次采购为</w:t>
      </w:r>
      <w:r>
        <w:rPr>
          <w:rFonts w:hint="eastAsia" w:ascii="宋体" w:hAnsi="宋体"/>
          <w:lang w:val="en-US" w:eastAsia="zh-CN"/>
        </w:rPr>
        <w:t>一</w:t>
      </w:r>
      <w:r>
        <w:rPr>
          <w:rFonts w:hint="eastAsia" w:ascii="宋体" w:hAnsi="宋体"/>
        </w:rPr>
        <w:t>个合同包，具体以采购人要求的为准；若合同包</w:t>
      </w:r>
      <w:r>
        <w:rPr>
          <w:rFonts w:hint="eastAsia" w:ascii="宋体" w:hAnsi="宋体"/>
          <w:lang w:eastAsia="zh-CN"/>
        </w:rPr>
        <w:t>成交供应商</w:t>
      </w:r>
      <w:r>
        <w:rPr>
          <w:rFonts w:hint="eastAsia" w:ascii="宋体" w:hAnsi="宋体"/>
        </w:rPr>
        <w:t>放弃成交、因不可抗力不能履行合同、不按照询价文件要求提交履约担保金，或者被查实存在影响成交结果的违法行为等情形，不符合成交条件的，采购人对该合同包重新询价采购。</w:t>
      </w:r>
    </w:p>
    <w:p>
      <w:pPr>
        <w:spacing w:line="360" w:lineRule="auto"/>
        <w:rPr>
          <w:rFonts w:ascii="宋体" w:hAnsi="宋体"/>
        </w:rPr>
      </w:pPr>
      <w:r>
        <w:rPr>
          <w:rFonts w:hint="eastAsia" w:ascii="宋体" w:hAnsi="宋体"/>
          <w:sz w:val="24"/>
          <w:lang w:val="en-US" w:eastAsia="zh-CN"/>
        </w:rPr>
        <w:t>2</w:t>
      </w:r>
      <w:r>
        <w:rPr>
          <w:rFonts w:hint="eastAsia" w:ascii="宋体" w:hAnsi="宋体"/>
          <w:sz w:val="24"/>
        </w:rPr>
        <w:t>、采购范围：</w:t>
      </w:r>
      <w:r>
        <w:rPr>
          <w:rFonts w:hint="eastAsia" w:ascii="宋体" w:hAnsi="宋体" w:cs="Times New Roman"/>
          <w:bCs w:val="0"/>
          <w:sz w:val="24"/>
          <w:lang w:eastAsia="zh-CN"/>
        </w:rPr>
        <w:t>龙岩智发科技智能化设备采购（二）</w:t>
      </w:r>
      <w:r>
        <w:rPr>
          <w:rFonts w:hint="eastAsia" w:ascii="宋体" w:hAnsi="宋体"/>
          <w:sz w:val="24"/>
        </w:rPr>
        <w:t>相关内容</w:t>
      </w:r>
      <w:r>
        <w:rPr>
          <w:rFonts w:hint="eastAsia" w:ascii="宋体" w:hAnsi="宋体"/>
        </w:rPr>
        <w:t>。</w:t>
      </w:r>
    </w:p>
    <w:p>
      <w:pPr>
        <w:pStyle w:val="90"/>
        <w:wordWrap w:val="0"/>
        <w:ind w:firstLine="0" w:firstLineChars="0"/>
        <w:rPr>
          <w:rFonts w:ascii="宋体" w:hAnsi="宋体"/>
          <w:highlight w:val="none"/>
        </w:rPr>
      </w:pPr>
      <w:r>
        <w:rPr>
          <w:rFonts w:hint="eastAsia" w:ascii="宋体" w:hAnsi="宋体"/>
          <w:highlight w:val="none"/>
          <w:lang w:val="en-US" w:eastAsia="zh-CN"/>
        </w:rPr>
        <w:t>3</w:t>
      </w:r>
      <w:r>
        <w:rPr>
          <w:rFonts w:hint="eastAsia" w:ascii="宋体" w:hAnsi="宋体"/>
          <w:highlight w:val="none"/>
        </w:rPr>
        <w:t>、供应商报价不得超过</w:t>
      </w:r>
      <w:r>
        <w:rPr>
          <w:rFonts w:hint="eastAsia" w:ascii="宋体" w:hAnsi="宋体"/>
          <w:highlight w:val="none"/>
          <w:lang w:eastAsia="zh-CN"/>
        </w:rPr>
        <w:t>采购总价和采购单价</w:t>
      </w:r>
      <w:r>
        <w:rPr>
          <w:rFonts w:hint="eastAsia" w:ascii="宋体" w:hAnsi="宋体"/>
          <w:highlight w:val="none"/>
        </w:rPr>
        <w:t>，否则报价无效。</w:t>
      </w:r>
    </w:p>
    <w:p>
      <w:pPr>
        <w:pStyle w:val="90"/>
        <w:wordWrap w:val="0"/>
        <w:ind w:firstLine="0" w:firstLineChars="0"/>
        <w:rPr>
          <w:rFonts w:hint="eastAsia"/>
        </w:rPr>
      </w:pPr>
      <w:r>
        <w:rPr>
          <w:rFonts w:hint="eastAsia" w:ascii="宋体" w:hAnsi="宋体"/>
          <w:color w:val="auto"/>
          <w:highlight w:val="none"/>
          <w:lang w:val="en-US" w:eastAsia="zh-CN"/>
        </w:rPr>
        <w:t>4</w:t>
      </w:r>
      <w:r>
        <w:rPr>
          <w:rFonts w:hint="eastAsia" w:ascii="宋体" w:hAnsi="宋体"/>
          <w:color w:val="auto"/>
          <w:highlight w:val="none"/>
        </w:rPr>
        <w:t>、项目报价含相关</w:t>
      </w:r>
      <w:r>
        <w:rPr>
          <w:rFonts w:hint="eastAsia" w:ascii="宋体" w:hAnsi="宋体"/>
          <w:color w:val="auto"/>
          <w:highlight w:val="none"/>
          <w:lang w:eastAsia="zh-CN"/>
        </w:rPr>
        <w:t>施工、安装、调试及所有设备配套辅材费、施工材料</w:t>
      </w:r>
      <w:r>
        <w:rPr>
          <w:rFonts w:hint="eastAsia" w:ascii="宋体" w:hAnsi="宋体"/>
          <w:color w:val="auto"/>
          <w:highlight w:val="none"/>
        </w:rPr>
        <w:t>费用，不再另外支付项目金额外的其他费。</w:t>
      </w:r>
    </w:p>
    <w:p>
      <w:pPr>
        <w:pStyle w:val="90"/>
        <w:wordWrap w:val="0"/>
        <w:ind w:firstLine="0" w:firstLineChars="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eastAsia="宋体" w:cs="Times New Roman"/>
          <w:i w:val="0"/>
          <w:iCs w:val="0"/>
          <w:caps w:val="0"/>
          <w:color w:val="auto"/>
          <w:spacing w:val="0"/>
          <w:sz w:val="24"/>
          <w:szCs w:val="24"/>
          <w:highlight w:val="none"/>
          <w:shd w:val="clear"/>
        </w:rPr>
        <w:t>采购方式根据需求分批次采购，按批次分期付款。</w:t>
      </w:r>
    </w:p>
    <w:p>
      <w:pPr>
        <w:pStyle w:val="90"/>
        <w:wordWrap w:val="0"/>
        <w:ind w:firstLine="0" w:firstLineChars="0"/>
        <w:rPr>
          <w:rFonts w:hint="eastAsia" w:ascii="宋体" w:hAnsi="宋体"/>
          <w:color w:val="auto"/>
          <w:highlight w:val="none"/>
          <w:lang w:val="en-US" w:eastAsia="zh-CN"/>
        </w:rPr>
      </w:pPr>
      <w:r>
        <w:rPr>
          <w:rFonts w:hint="eastAsia" w:ascii="宋体" w:hAnsi="宋体"/>
          <w:color w:val="auto"/>
          <w:highlight w:val="none"/>
          <w:lang w:val="en-US" w:eastAsia="zh-CN"/>
        </w:rPr>
        <w:t>6、清单调整</w:t>
      </w:r>
    </w:p>
    <w:p>
      <w:pPr>
        <w:pStyle w:val="90"/>
        <w:wordWrap w:val="0"/>
        <w:ind w:firstLine="240" w:firstLineChars="100"/>
        <w:rPr>
          <w:rFonts w:hint="eastAsia" w:ascii="宋体" w:hAnsi="宋体"/>
          <w:color w:val="auto"/>
          <w:highlight w:val="none"/>
          <w:lang w:val="en-US" w:eastAsia="zh-CN"/>
        </w:rPr>
      </w:pPr>
      <w:r>
        <w:rPr>
          <w:rFonts w:hint="eastAsia" w:ascii="宋体" w:hAnsi="宋体"/>
          <w:color w:val="auto"/>
          <w:highlight w:val="none"/>
          <w:lang w:val="en-US" w:eastAsia="zh-CN"/>
        </w:rPr>
        <w:t>随本询价文件发布的清单为暂列清单，询价单位如因活动需要对清单作出调整，成交单位应无条件配合执行，调价原则如下：</w:t>
      </w:r>
    </w:p>
    <w:p>
      <w:pPr>
        <w:pStyle w:val="90"/>
        <w:wordWrap w:val="0"/>
        <w:ind w:firstLine="0" w:firstLineChars="0"/>
        <w:rPr>
          <w:rFonts w:hint="eastAsia" w:ascii="宋体" w:hAnsi="宋体"/>
          <w:color w:val="auto"/>
          <w:highlight w:val="none"/>
          <w:lang w:val="en-US" w:eastAsia="zh-CN"/>
        </w:rPr>
      </w:pPr>
      <w:r>
        <w:rPr>
          <w:rFonts w:hint="eastAsia" w:ascii="宋体" w:hAnsi="宋体"/>
          <w:color w:val="auto"/>
          <w:highlight w:val="none"/>
          <w:lang w:val="en-US" w:eastAsia="zh-CN"/>
        </w:rPr>
        <w:t>（1）清单数量增减，结算单价按成交单位的报价，数量按实计算；</w:t>
      </w:r>
    </w:p>
    <w:p>
      <w:pPr>
        <w:pStyle w:val="90"/>
        <w:wordWrap w:val="0"/>
        <w:ind w:firstLine="0" w:firstLineChars="0"/>
        <w:rPr>
          <w:rFonts w:hint="eastAsia" w:ascii="宋体" w:hAnsi="宋体" w:eastAsia="宋体"/>
          <w:color w:val="auto"/>
          <w:highlight w:val="none"/>
          <w:lang w:val="en-US" w:eastAsia="zh-CN"/>
        </w:rPr>
      </w:pPr>
      <w:r>
        <w:rPr>
          <w:rFonts w:hint="eastAsia" w:ascii="宋体" w:hAnsi="宋体"/>
          <w:color w:val="auto"/>
          <w:highlight w:val="none"/>
          <w:lang w:val="en-US" w:eastAsia="zh-CN"/>
        </w:rPr>
        <w:t>（2）清单中缺项的，成交单位市场询价后将价格报询价单位同意后方能进行采购或实施，成交单位应及时做好签证手续。</w:t>
      </w:r>
    </w:p>
    <w:p>
      <w:pPr>
        <w:pStyle w:val="90"/>
        <w:wordWrap w:val="0"/>
        <w:ind w:firstLine="0" w:firstLineChars="0"/>
        <w:rPr>
          <w:rFonts w:hint="default" w:ascii="宋体" w:eastAsia="宋体"/>
          <w:color w:val="auto"/>
          <w:lang w:val="en-US" w:eastAsia="zh-CN"/>
        </w:rPr>
        <w:sectPr>
          <w:pgSz w:w="16838" w:h="11906" w:orient="landscape"/>
          <w:pgMar w:top="1293" w:right="1440" w:bottom="1349" w:left="1440" w:header="851" w:footer="992" w:gutter="0"/>
          <w:pgNumType w:fmt="decimal"/>
          <w:cols w:space="425" w:num="1"/>
          <w:docGrid w:type="lines" w:linePitch="312" w:charSpace="0"/>
        </w:sectPr>
      </w:pPr>
    </w:p>
    <w:p>
      <w:pPr>
        <w:pStyle w:val="90"/>
        <w:wordWrap w:val="0"/>
        <w:ind w:firstLine="0" w:firstLineChars="0"/>
        <w:rPr>
          <w:rFonts w:hint="default" w:ascii="宋体" w:eastAsia="宋体"/>
          <w:color w:val="auto"/>
          <w:lang w:val="en-US" w:eastAsia="zh-CN"/>
        </w:rPr>
      </w:pPr>
    </w:p>
    <w:p>
      <w:pPr>
        <w:spacing w:line="360" w:lineRule="auto"/>
        <w:outlineLvl w:val="1"/>
        <w:rPr>
          <w:rFonts w:ascii="宋体"/>
          <w:b/>
          <w:color w:val="auto"/>
          <w:sz w:val="24"/>
        </w:rPr>
      </w:pPr>
      <w:bookmarkStart w:id="58" w:name="_Toc25259"/>
      <w:bookmarkStart w:id="59" w:name="_Toc7070"/>
      <w:r>
        <w:rPr>
          <w:rFonts w:hint="eastAsia" w:ascii="宋体" w:hAnsi="宋体"/>
          <w:b/>
          <w:color w:val="auto"/>
          <w:sz w:val="24"/>
        </w:rPr>
        <w:t>二、技术参数及要求</w:t>
      </w:r>
      <w:bookmarkEnd w:id="57"/>
      <w:r>
        <w:rPr>
          <w:rFonts w:hint="eastAsia" w:ascii="宋体" w:hAnsi="宋体"/>
          <w:b/>
          <w:color w:val="auto"/>
          <w:sz w:val="24"/>
        </w:rPr>
        <w:t>：</w:t>
      </w:r>
      <w:bookmarkEnd w:id="58"/>
      <w:bookmarkEnd w:id="59"/>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0" w:firstLine="420"/>
        <w:textAlignment w:val="auto"/>
        <w:rPr>
          <w:rFonts w:hint="eastAsia"/>
          <w:color w:val="auto"/>
          <w:sz w:val="24"/>
          <w:lang w:eastAsia="zh-CN"/>
        </w:rPr>
      </w:pPr>
      <w:r>
        <w:rPr>
          <w:rFonts w:hint="eastAsia" w:asciiTheme="majorEastAsia" w:hAnsiTheme="majorEastAsia" w:eastAsiaTheme="majorEastAsia" w:cstheme="majorEastAsia"/>
          <w:color w:val="auto"/>
          <w:sz w:val="24"/>
          <w:szCs w:val="24"/>
          <w:lang w:val="en-US" w:eastAsia="zh-CN"/>
        </w:rPr>
        <w:t>整个系统要求：</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590"/>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b/>
                <w:bCs/>
                <w:color w:val="000000" w:themeColor="text1"/>
                <w:spacing w:val="0"/>
                <w:w w:val="100"/>
                <w:position w:val="0"/>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pacing w:val="0"/>
                <w:w w:val="100"/>
                <w:position w:val="0"/>
                <w:sz w:val="24"/>
                <w:szCs w:val="24"/>
                <w:vertAlign w:val="baseline"/>
                <w:lang w:val="en-US" w:eastAsia="zh-CN"/>
                <w14:textFill>
                  <w14:solidFill>
                    <w14:schemeClr w14:val="tx1"/>
                  </w14:solidFill>
                </w14:textFill>
              </w:rPr>
              <w:t>序号</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b/>
                <w:bCs/>
                <w:color w:val="000000" w:themeColor="text1"/>
                <w:spacing w:val="0"/>
                <w:w w:val="100"/>
                <w:position w:val="0"/>
                <w:sz w:val="24"/>
                <w:szCs w:val="24"/>
                <w:vertAlign w:val="baseline"/>
                <w:lang w:val="en-US" w:eastAsia="zh-CN"/>
                <w14:textFill>
                  <w14:solidFill>
                    <w14:schemeClr w14:val="tx1"/>
                  </w14:solidFill>
                </w14:textFill>
              </w:rPr>
            </w:pPr>
            <w:r>
              <w:rPr>
                <w:rFonts w:hint="eastAsia" w:cs="宋体"/>
                <w:b/>
                <w:bCs/>
                <w:color w:val="000000" w:themeColor="text1"/>
                <w:spacing w:val="0"/>
                <w:w w:val="100"/>
                <w:position w:val="0"/>
                <w:sz w:val="24"/>
                <w:szCs w:val="24"/>
                <w:vertAlign w:val="baseline"/>
                <w:lang w:val="en-US" w:eastAsia="zh-CN"/>
                <w14:textFill>
                  <w14:solidFill>
                    <w14:schemeClr w14:val="tx1"/>
                  </w14:solidFill>
                </w14:textFill>
              </w:rPr>
              <w:t>品目</w:t>
            </w:r>
          </w:p>
        </w:tc>
        <w:tc>
          <w:tcPr>
            <w:tcW w:w="5888"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b/>
                <w:bCs/>
                <w:color w:val="000000" w:themeColor="text1"/>
                <w:spacing w:val="0"/>
                <w:w w:val="100"/>
                <w:position w:val="0"/>
                <w:sz w:val="24"/>
                <w:szCs w:val="24"/>
                <w:vertAlign w:val="baseline"/>
                <w:lang w:val="en-US" w:eastAsia="zh-CN"/>
                <w14:textFill>
                  <w14:solidFill>
                    <w14:schemeClr w14:val="tx1"/>
                  </w14:solidFill>
                </w14:textFill>
              </w:rPr>
            </w:pPr>
            <w:r>
              <w:rPr>
                <w:rFonts w:hint="eastAsia" w:cs="宋体"/>
                <w:b/>
                <w:bCs/>
                <w:color w:val="000000" w:themeColor="text1"/>
                <w:spacing w:val="0"/>
                <w:w w:val="100"/>
                <w:position w:val="0"/>
                <w:sz w:val="24"/>
                <w:szCs w:val="24"/>
                <w:vertAlign w:val="baseline"/>
                <w:lang w:val="en-US" w:eastAsia="zh-CN"/>
                <w14:textFill>
                  <w14:solidFill>
                    <w14:schemeClr w14:val="tx1"/>
                  </w14:solidFill>
                </w14:textFil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t>1</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14:textFill>
                  <w14:solidFill>
                    <w14:schemeClr w14:val="tx1"/>
                  </w14:solidFill>
                </w14:textFill>
              </w:rPr>
            </w:pPr>
            <w:r>
              <w:rPr>
                <w:rFonts w:hint="eastAsia" w:ascii="宋体" w:hAnsi="宋体" w:eastAsia="宋体" w:cs="宋体"/>
                <w:i w:val="0"/>
                <w:iCs w:val="0"/>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党建微服务器(带AI党建系统)</w:t>
            </w:r>
          </w:p>
        </w:tc>
        <w:tc>
          <w:tcPr>
            <w:tcW w:w="5888" w:type="dxa"/>
            <w:vAlign w:val="center"/>
          </w:tcPr>
          <w:p>
            <w:pPr>
              <w:ind w:left="0" w:leftChars="0" w:firstLine="0" w:firstLineChars="0"/>
              <w:rPr>
                <w:rFonts w:hint="eastAsia"/>
                <w:b/>
                <w:bCs/>
                <w:sz w:val="24"/>
                <w:lang w:eastAsia="zh-CN"/>
              </w:rPr>
            </w:pPr>
            <w:r>
              <w:rPr>
                <w:rFonts w:hint="eastAsia"/>
                <w:b/>
                <w:bCs/>
                <w:sz w:val="24"/>
                <w:lang w:val="en-US" w:eastAsia="zh-CN"/>
              </w:rPr>
              <w:t>一、</w:t>
            </w:r>
            <w:r>
              <w:rPr>
                <w:rFonts w:hint="eastAsia"/>
                <w:b/>
                <w:bCs/>
                <w:sz w:val="24"/>
                <w:lang w:eastAsia="zh-CN"/>
              </w:rPr>
              <w:t>硬件参数</w:t>
            </w:r>
          </w:p>
          <w:p>
            <w:pPr>
              <w:ind w:firstLine="0" w:firstLineChars="0"/>
              <w:jc w:val="left"/>
              <w:rPr>
                <w:color w:val="auto"/>
                <w:sz w:val="24"/>
              </w:rPr>
            </w:pPr>
            <w:r>
              <w:rPr>
                <w:rFonts w:hint="eastAsia"/>
                <w:color w:val="auto"/>
                <w:sz w:val="24"/>
                <w:lang w:val="en-US" w:eastAsia="zh-CN"/>
              </w:rPr>
              <w:t>1</w:t>
            </w:r>
            <w:r>
              <w:rPr>
                <w:color w:val="auto"/>
                <w:sz w:val="24"/>
              </w:rPr>
              <w:t>.中央处理器</w:t>
            </w:r>
            <w:r>
              <w:rPr>
                <w:rFonts w:hint="eastAsia"/>
                <w:color w:val="auto"/>
                <w:sz w:val="24"/>
              </w:rPr>
              <w:t>为酷睿i3</w:t>
            </w:r>
            <w:r>
              <w:rPr>
                <w:color w:val="auto"/>
                <w:sz w:val="24"/>
              </w:rPr>
              <w:t>;</w:t>
            </w:r>
          </w:p>
          <w:p>
            <w:pPr>
              <w:ind w:firstLine="0" w:firstLineChars="0"/>
              <w:jc w:val="left"/>
              <w:rPr>
                <w:color w:val="auto"/>
                <w:sz w:val="24"/>
              </w:rPr>
            </w:pPr>
            <w:r>
              <w:rPr>
                <w:rFonts w:hint="eastAsia"/>
                <w:color w:val="auto"/>
                <w:sz w:val="24"/>
                <w:lang w:val="en-US" w:eastAsia="zh-CN"/>
              </w:rPr>
              <w:t>2</w:t>
            </w:r>
            <w:r>
              <w:rPr>
                <w:color w:val="auto"/>
                <w:sz w:val="24"/>
              </w:rPr>
              <w:t>.硬盘存储采用固态硬盘，存储空间</w:t>
            </w:r>
            <w:r>
              <w:rPr>
                <w:rFonts w:hint="eastAsia"/>
                <w:color w:val="auto"/>
                <w:sz w:val="24"/>
              </w:rPr>
              <w:t>不小于</w:t>
            </w:r>
            <w:r>
              <w:rPr>
                <w:color w:val="auto"/>
                <w:sz w:val="24"/>
              </w:rPr>
              <w:t>256G；</w:t>
            </w:r>
          </w:p>
          <w:p>
            <w:pPr>
              <w:ind w:firstLine="0" w:firstLineChars="0"/>
              <w:jc w:val="left"/>
              <w:rPr>
                <w:color w:val="auto"/>
                <w:sz w:val="24"/>
              </w:rPr>
            </w:pPr>
            <w:r>
              <w:rPr>
                <w:rFonts w:hint="eastAsia"/>
                <w:color w:val="auto"/>
                <w:sz w:val="24"/>
                <w:lang w:val="en-US" w:eastAsia="zh-CN"/>
              </w:rPr>
              <w:t>3</w:t>
            </w:r>
            <w:r>
              <w:rPr>
                <w:color w:val="auto"/>
                <w:sz w:val="24"/>
              </w:rPr>
              <w:t>.内存采用DDR3芯片组，</w:t>
            </w:r>
            <w:r>
              <w:rPr>
                <w:rFonts w:hint="eastAsia"/>
                <w:color w:val="auto"/>
                <w:sz w:val="24"/>
              </w:rPr>
              <w:t>不小于</w:t>
            </w:r>
            <w:r>
              <w:rPr>
                <w:rFonts w:hint="eastAsia"/>
                <w:color w:val="auto"/>
                <w:sz w:val="24"/>
                <w:lang w:val="en-US" w:eastAsia="zh-CN"/>
              </w:rPr>
              <w:t>8</w:t>
            </w:r>
            <w:r>
              <w:rPr>
                <w:color w:val="auto"/>
                <w:sz w:val="24"/>
              </w:rPr>
              <w:t>G；</w:t>
            </w:r>
          </w:p>
          <w:p>
            <w:pPr>
              <w:ind w:firstLine="0" w:firstLineChars="0"/>
              <w:jc w:val="left"/>
              <w:rPr>
                <w:rFonts w:hint="eastAsia"/>
                <w:color w:val="auto"/>
                <w:sz w:val="24"/>
                <w:lang w:val="en-US" w:eastAsia="zh-CN"/>
              </w:rPr>
            </w:pPr>
            <w:r>
              <w:rPr>
                <w:rFonts w:hint="eastAsia"/>
                <w:color w:val="auto"/>
                <w:sz w:val="24"/>
                <w:lang w:val="en-US" w:eastAsia="zh-CN"/>
              </w:rPr>
              <w:t>4.设备尺寸不大于150mm*135mm*49mm。</w:t>
            </w:r>
          </w:p>
          <w:p>
            <w:pPr>
              <w:ind w:firstLine="0" w:firstLineChars="0"/>
              <w:jc w:val="left"/>
              <w:rPr>
                <w:rFonts w:hint="default"/>
                <w:color w:val="auto"/>
                <w:sz w:val="24"/>
                <w:lang w:val="en-US" w:eastAsia="zh-CN"/>
              </w:rPr>
            </w:pPr>
            <w:r>
              <w:rPr>
                <w:rFonts w:hint="eastAsia"/>
                <w:color w:val="auto"/>
                <w:sz w:val="24"/>
                <w:lang w:val="en-US" w:eastAsia="zh-CN"/>
              </w:rPr>
              <w:t>5.重量不高于0.64KG</w:t>
            </w:r>
          </w:p>
          <w:p>
            <w:pPr>
              <w:ind w:firstLine="0" w:firstLineChars="0"/>
              <w:jc w:val="left"/>
              <w:rPr>
                <w:rFonts w:hint="eastAsia"/>
                <w:color w:val="auto"/>
                <w:sz w:val="24"/>
                <w:lang w:val="en-US" w:eastAsia="zh-CN"/>
              </w:rPr>
            </w:pPr>
            <w:r>
              <w:rPr>
                <w:rFonts w:hint="eastAsia"/>
                <w:color w:val="auto"/>
                <w:sz w:val="24"/>
                <w:lang w:val="en-US" w:eastAsia="zh-CN"/>
              </w:rPr>
              <w:t>6.</w:t>
            </w:r>
            <w:r>
              <w:rPr>
                <w:rFonts w:hint="eastAsia"/>
                <w:color w:val="auto"/>
                <w:sz w:val="24"/>
                <w:lang w:eastAsia="zh-CN"/>
              </w:rPr>
              <w:t>供电电源不低于</w:t>
            </w:r>
            <w:r>
              <w:rPr>
                <w:rFonts w:hint="eastAsia"/>
                <w:color w:val="auto"/>
                <w:sz w:val="24"/>
                <w:lang w:val="en-US" w:eastAsia="zh-CN"/>
              </w:rPr>
              <w:t>12V，5A。</w:t>
            </w:r>
          </w:p>
          <w:p>
            <w:pPr>
              <w:ind w:firstLine="0" w:firstLineChars="0"/>
              <w:jc w:val="left"/>
              <w:rPr>
                <w:color w:val="auto"/>
                <w:sz w:val="24"/>
              </w:rPr>
            </w:pPr>
            <w:r>
              <w:rPr>
                <w:rFonts w:hint="eastAsia"/>
                <w:color w:val="auto"/>
                <w:sz w:val="24"/>
                <w:lang w:val="en-US" w:eastAsia="zh-CN"/>
              </w:rPr>
              <w:t>7</w:t>
            </w:r>
            <w:r>
              <w:rPr>
                <w:color w:val="auto"/>
                <w:sz w:val="24"/>
              </w:rPr>
              <w:t>.支持有线</w:t>
            </w:r>
            <w:r>
              <w:rPr>
                <w:rFonts w:hint="eastAsia"/>
                <w:color w:val="auto"/>
                <w:sz w:val="24"/>
                <w:lang w:eastAsia="zh-CN"/>
              </w:rPr>
              <w:t>网络</w:t>
            </w:r>
            <w:r>
              <w:rPr>
                <w:color w:val="auto"/>
                <w:sz w:val="24"/>
              </w:rPr>
              <w:t>；</w:t>
            </w:r>
          </w:p>
          <w:p>
            <w:pPr>
              <w:ind w:left="0" w:leftChars="0" w:firstLine="0" w:firstLineChars="0"/>
              <w:rPr>
                <w:rFonts w:hint="eastAsia"/>
                <w:color w:val="auto"/>
                <w:sz w:val="24"/>
                <w:lang w:eastAsia="zh-CN"/>
              </w:rPr>
            </w:pPr>
            <w:r>
              <w:rPr>
                <w:rFonts w:hint="eastAsia"/>
                <w:color w:val="auto"/>
                <w:sz w:val="24"/>
                <w:lang w:val="en-US" w:eastAsia="zh-CN"/>
              </w:rPr>
              <w:t>8.</w:t>
            </w:r>
            <w:r>
              <w:rPr>
                <w:color w:val="auto"/>
                <w:sz w:val="24"/>
              </w:rPr>
              <w:t>信号输入接口支持:</w:t>
            </w:r>
            <w:r>
              <w:rPr>
                <w:rFonts w:hint="eastAsia"/>
                <w:color w:val="auto"/>
                <w:sz w:val="24"/>
                <w:lang w:val="en-US" w:eastAsia="zh-CN"/>
              </w:rPr>
              <w:t>DP</w:t>
            </w:r>
            <w:r>
              <w:rPr>
                <w:color w:val="auto"/>
                <w:sz w:val="24"/>
              </w:rPr>
              <w:t>/HDMI/USB2.0/</w:t>
            </w:r>
            <w:r>
              <w:rPr>
                <w:rFonts w:hint="eastAsia"/>
                <w:color w:val="auto"/>
                <w:sz w:val="24"/>
                <w:lang w:val="en-US" w:eastAsia="zh-CN"/>
              </w:rPr>
              <w:t>USB3.0/</w:t>
            </w:r>
            <w:r>
              <w:rPr>
                <w:color w:val="auto"/>
                <w:sz w:val="24"/>
              </w:rPr>
              <w:t>音频输入输出等接口</w:t>
            </w:r>
            <w:r>
              <w:rPr>
                <w:rFonts w:hint="eastAsia"/>
                <w:color w:val="auto"/>
                <w:sz w:val="24"/>
              </w:rPr>
              <w:t>；</w:t>
            </w:r>
          </w:p>
          <w:p>
            <w:pPr>
              <w:ind w:left="0" w:leftChars="0" w:firstLine="0" w:firstLineChars="0"/>
              <w:rPr>
                <w:rFonts w:hint="eastAsia"/>
                <w:b/>
                <w:bCs/>
                <w:color w:val="auto"/>
                <w:sz w:val="24"/>
                <w:lang w:eastAsia="zh-CN"/>
              </w:rPr>
            </w:pPr>
            <w:r>
              <w:rPr>
                <w:rFonts w:hint="eastAsia"/>
                <w:b/>
                <w:bCs/>
                <w:color w:val="auto"/>
                <w:sz w:val="24"/>
                <w:lang w:val="en-US" w:eastAsia="zh-CN"/>
              </w:rPr>
              <w:t>二、系统功能模块</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今日公告：组织通知公告信息展示面板；</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党政要闻（本地）：支持离线情况下支部可通过党建机本地上传资料展示支部要闻；</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专栏中心：支持支部通过党建机上传支部图文、视频、电子书，共享支部学习心得；</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支部历程：展示支部基础信息和重要节点历程；</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组织生活：支持展示支部组织生活信息，包括三会一课、主题党日等党建会议详情和会议纪要；</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资源链接：支持链接第三方网站资讯，一键联动快速跳转；</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党员风采：展示风采党员的履历及基础信息；</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志愿者风采：展示风采志愿者的履历及基础信息；</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党支荣誉：支持展示荣誉图片，例如组织荣誉证书、评优证书和党员获奖证书；</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党建相册：支持以瀑布式展示党组织相关图片，展现支部风采风貌；</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心声驿站：支持展示支部成员心声留言内容；</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视图介绍：支持展示组织上传的全屏图片，例如工作流程挂历图、单位简介图等图片信息；</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党建学习：党建网实时更新资讯，包括党史故事、党建视频、学习文选、党建杂志等内容；</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专题海报：支持用户一键切换云屏主题海报，体验一触即达的内容更换体验；</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党员架构：支持展示支部委员干部架构，可由系统录入党员自动生成架构图，或上传图片展示；</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志愿者架构：支持展示志愿者干部架构，可由系统录入党员自动生成架构图，或上传图片展示；</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组织架构：支持展示组织及下级组织或多层级关系的组织架构功能；</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党史学习：党建网实时更新党史学习内容，无需为学习内容过时不更新而担心；</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新媒体中心：以新媒体图文并茂的形式展示领导讲话内容；</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视讯中心：支持全屏播放视频展示组织风采历程；</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群众办事：办事登记，一键预约，简洁的事项预览界面和清晰的办结统计；</w:t>
            </w:r>
          </w:p>
          <w:p>
            <w:pPr>
              <w:pStyle w:val="16"/>
              <w:keepNext w:val="0"/>
              <w:keepLines w:val="0"/>
              <w:pageBreakBefore w:val="0"/>
              <w:widowControl w:val="0"/>
              <w:numPr>
                <w:ilvl w:val="0"/>
                <w:numId w:val="8"/>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完整提供1.~2</w:t>
            </w: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lang w:val="en-US" w:eastAsia="zh-CN"/>
              </w:rPr>
              <w:t>.软件功能界面截图。</w:t>
            </w:r>
          </w:p>
          <w:p>
            <w:pPr>
              <w:pStyle w:val="16"/>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三.系统后台功能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b w:val="0"/>
                <w:bCs/>
                <w:color w:val="auto"/>
                <w:sz w:val="24"/>
                <w:szCs w:val="24"/>
                <w:lang w:eastAsia="zh-CN"/>
              </w:rPr>
            </w:pPr>
            <w:r>
              <w:rPr>
                <w:rFonts w:ascii="宋体" w:hAnsi="宋体" w:cs="宋体"/>
                <w:b w:val="0"/>
                <w:bCs/>
                <w:color w:val="auto"/>
                <w:sz w:val="24"/>
                <w:szCs w:val="24"/>
                <w:lang w:eastAsia="zh-CN"/>
              </w:rPr>
              <w:t>1.</w:t>
            </w:r>
            <w:r>
              <w:rPr>
                <w:rFonts w:hint="eastAsia" w:ascii="宋体" w:hAnsi="宋体" w:cs="宋体"/>
                <w:b w:val="0"/>
                <w:bCs/>
                <w:color w:val="auto"/>
                <w:sz w:val="24"/>
                <w:szCs w:val="24"/>
                <w:lang w:eastAsia="zh-CN"/>
              </w:rPr>
              <w:t>系统具备产品前台首页和后台管理功能，具有标题展示区、公告区、党政要闻区、党建学习区、视屏图片播放区、其他信息区等功能模块区。访问后台有两种方式；一种是在设备端可以直接进入后台，另外一种是在web端登录后台地址，方便统一管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b w:val="0"/>
                <w:bCs/>
                <w:color w:val="auto"/>
                <w:sz w:val="24"/>
                <w:szCs w:val="24"/>
                <w:lang w:eastAsia="zh-CN"/>
              </w:rPr>
            </w:pPr>
            <w:r>
              <w:rPr>
                <w:rFonts w:ascii="宋体" w:hAnsi="宋体" w:cs="宋体"/>
                <w:b w:val="0"/>
                <w:bCs/>
                <w:color w:val="auto"/>
                <w:sz w:val="24"/>
                <w:szCs w:val="24"/>
                <w:lang w:eastAsia="zh-CN"/>
              </w:rPr>
              <w:t>2.</w:t>
            </w:r>
            <w:r>
              <w:rPr>
                <w:rFonts w:hint="eastAsia" w:ascii="宋体" w:hAnsi="宋体" w:cs="宋体"/>
                <w:b w:val="0"/>
                <w:bCs/>
                <w:color w:val="auto"/>
                <w:sz w:val="24"/>
                <w:szCs w:val="24"/>
                <w:lang w:eastAsia="zh-CN"/>
              </w:rPr>
              <w:t>首页模块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b w:val="0"/>
                <w:bCs/>
                <w:color w:val="auto"/>
                <w:sz w:val="24"/>
                <w:szCs w:val="24"/>
                <w:lang w:eastAsia="zh-CN"/>
              </w:rPr>
            </w:pPr>
            <w:r>
              <w:rPr>
                <w:rFonts w:hint="eastAsia" w:ascii="宋体" w:hAnsi="宋体" w:cs="宋体"/>
                <w:b w:val="0"/>
                <w:bCs/>
                <w:color w:val="auto"/>
                <w:sz w:val="24"/>
                <w:szCs w:val="24"/>
                <w:lang w:eastAsia="zh-CN"/>
              </w:rPr>
              <w:t>（1）标题展示区：可设置显示的主题区；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b w:val="0"/>
                <w:bCs/>
                <w:color w:val="auto"/>
                <w:sz w:val="24"/>
                <w:szCs w:val="24"/>
                <w:lang w:eastAsia="zh-CN"/>
              </w:rPr>
            </w:pPr>
            <w:r>
              <w:rPr>
                <w:rFonts w:hint="eastAsia" w:ascii="宋体" w:hAnsi="宋体" w:cs="宋体"/>
                <w:b w:val="0"/>
                <w:bCs/>
                <w:color w:val="auto"/>
                <w:sz w:val="24"/>
                <w:szCs w:val="24"/>
                <w:lang w:eastAsia="zh-CN"/>
              </w:rPr>
              <w:t>（2）公告区：党组织通知公告内容展示区域；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b w:val="0"/>
                <w:bCs/>
                <w:color w:val="auto"/>
                <w:sz w:val="24"/>
                <w:szCs w:val="24"/>
                <w:lang w:eastAsia="zh-CN"/>
              </w:rPr>
            </w:pPr>
            <w:r>
              <w:rPr>
                <w:rFonts w:hint="eastAsia" w:ascii="宋体" w:hAnsi="宋体" w:cs="宋体"/>
                <w:b w:val="0"/>
                <w:bCs/>
                <w:color w:val="auto"/>
                <w:sz w:val="24"/>
                <w:szCs w:val="24"/>
                <w:lang w:eastAsia="zh-CN"/>
              </w:rPr>
              <w:t>（3）党政要闻区：能显示最新党政要闻；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b w:val="0"/>
                <w:bCs/>
                <w:color w:val="auto"/>
                <w:sz w:val="24"/>
                <w:szCs w:val="24"/>
                <w:lang w:eastAsia="zh-CN"/>
              </w:rPr>
            </w:pPr>
            <w:r>
              <w:rPr>
                <w:rFonts w:hint="eastAsia" w:ascii="宋体" w:hAnsi="宋体" w:cs="宋体"/>
                <w:b w:val="0"/>
                <w:bCs/>
                <w:color w:val="auto"/>
                <w:sz w:val="24"/>
                <w:szCs w:val="24"/>
                <w:lang w:eastAsia="zh-CN"/>
              </w:rPr>
              <w:t>（4）党建学习区：能点击进入各模块进行党建学习；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b w:val="0"/>
                <w:bCs/>
                <w:color w:val="auto"/>
                <w:sz w:val="24"/>
                <w:szCs w:val="24"/>
                <w:lang w:eastAsia="zh-CN"/>
              </w:rPr>
            </w:pPr>
            <w:r>
              <w:rPr>
                <w:rFonts w:hint="eastAsia" w:ascii="宋体" w:hAnsi="宋体" w:cs="宋体"/>
                <w:b w:val="0"/>
                <w:bCs/>
                <w:color w:val="auto"/>
                <w:sz w:val="24"/>
                <w:szCs w:val="24"/>
                <w:lang w:eastAsia="zh-CN"/>
              </w:rPr>
              <w:t>（5）视频/图片库播放区：轮播投放的视频或图片内容；</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ascii="宋体" w:hAnsi="宋体" w:cs="宋体"/>
                <w:b w:val="0"/>
                <w:bCs/>
                <w:color w:val="auto"/>
                <w:sz w:val="24"/>
                <w:szCs w:val="24"/>
                <w:lang w:eastAsia="zh-CN"/>
              </w:rPr>
              <w:t>（7）其他信息区：显示时间、气候、地理位置。</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rFonts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3.组织管理</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（1）</w:t>
            </w:r>
            <w:r>
              <w:rPr>
                <w:b w:val="0"/>
                <w:bCs/>
                <w:color w:val="auto"/>
                <w:sz w:val="24"/>
                <w:szCs w:val="24"/>
                <w:lang w:eastAsia="zh-CN"/>
              </w:rPr>
              <w:t>组织信息</w:t>
            </w:r>
            <w:r>
              <w:rPr>
                <w:rFonts w:hint="eastAsia"/>
                <w:b w:val="0"/>
                <w:bCs/>
                <w:color w:val="auto"/>
                <w:sz w:val="24"/>
                <w:szCs w:val="24"/>
                <w:lang w:eastAsia="zh-CN"/>
              </w:rPr>
              <w:t>：</w:t>
            </w:r>
            <w:r>
              <w:rPr>
                <w:b w:val="0"/>
                <w:bCs/>
                <w:color w:val="auto"/>
                <w:sz w:val="24"/>
                <w:szCs w:val="24"/>
                <w:lang w:eastAsia="zh-CN"/>
              </w:rPr>
              <w:t>管理组织基础信息，包含组织名称、成立时间、组织简介、组织重大历程等数据，并且支持历程按照时间倒序和正序排序。</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（2）</w:t>
            </w:r>
            <w:r>
              <w:rPr>
                <w:b w:val="0"/>
                <w:bCs/>
                <w:color w:val="auto"/>
                <w:sz w:val="24"/>
                <w:szCs w:val="24"/>
                <w:lang w:eastAsia="zh-CN"/>
              </w:rPr>
              <w:t>组织构成</w:t>
            </w:r>
            <w:r>
              <w:rPr>
                <w:rFonts w:hint="eastAsia"/>
                <w:b w:val="0"/>
                <w:bCs/>
                <w:color w:val="auto"/>
                <w:sz w:val="24"/>
                <w:szCs w:val="24"/>
                <w:lang w:eastAsia="zh-CN"/>
              </w:rPr>
              <w:t>：</w:t>
            </w:r>
            <w:r>
              <w:rPr>
                <w:b w:val="0"/>
                <w:bCs/>
                <w:color w:val="auto"/>
                <w:sz w:val="24"/>
                <w:szCs w:val="24"/>
                <w:lang w:eastAsia="zh-CN"/>
              </w:rPr>
              <w:t>支持多级创建组织，每个组织可单独设置名称、类型、简介、排序和所属组织的职务架构。</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（3）</w:t>
            </w:r>
            <w:r>
              <w:rPr>
                <w:b w:val="0"/>
                <w:bCs/>
                <w:color w:val="auto"/>
                <w:sz w:val="24"/>
                <w:szCs w:val="24"/>
                <w:lang w:eastAsia="zh-CN"/>
              </w:rPr>
              <w:t>党员班子架构</w:t>
            </w:r>
            <w:r>
              <w:rPr>
                <w:rFonts w:hint="eastAsia"/>
                <w:b w:val="0"/>
                <w:bCs/>
                <w:color w:val="auto"/>
                <w:sz w:val="24"/>
                <w:szCs w:val="24"/>
                <w:lang w:eastAsia="zh-CN"/>
              </w:rPr>
              <w:t>：</w:t>
            </w:r>
            <w:r>
              <w:rPr>
                <w:b w:val="0"/>
                <w:bCs/>
                <w:color w:val="auto"/>
                <w:sz w:val="24"/>
                <w:szCs w:val="24"/>
                <w:lang w:eastAsia="zh-CN"/>
              </w:rPr>
              <w:t>用两种方式展示站点的党员班子架构。方法1：选择“使用自生成架构”，系统自动以树形架构图的形式，按照人员信息中填写的组织和岗位数据直接反映在架构图上。方法2：选择“使用图片架构”，本地上传组织架构图片，根据显示屏界面适配横屏或竖屏形式的图片。</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4.党员管理：在党员列表页面中，可查看和管理党员数据，包含党员的姓名、头像、手机号、党内职务、所属组织、出生日期、党员状态、性别、民族、学历、党员荣誉、党员履历等信息。并且党员荣誉支持自定义。具备党员人脸识别记录的查询和导出操作。</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5.宣传中心</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（1）</w:t>
            </w:r>
            <w:r>
              <w:rPr>
                <w:b w:val="0"/>
                <w:bCs/>
                <w:color w:val="auto"/>
                <w:sz w:val="24"/>
                <w:szCs w:val="24"/>
                <w:lang w:eastAsia="zh-CN"/>
              </w:rPr>
              <w:t>通知公告</w:t>
            </w:r>
            <w:r>
              <w:rPr>
                <w:rFonts w:hint="eastAsia"/>
                <w:b w:val="0"/>
                <w:bCs/>
                <w:color w:val="auto"/>
                <w:sz w:val="24"/>
                <w:szCs w:val="24"/>
                <w:lang w:eastAsia="zh-CN"/>
              </w:rPr>
              <w:t>：</w:t>
            </w:r>
            <w:r>
              <w:rPr>
                <w:b w:val="0"/>
                <w:bCs/>
                <w:color w:val="auto"/>
                <w:sz w:val="24"/>
                <w:szCs w:val="24"/>
                <w:lang w:eastAsia="zh-CN"/>
              </w:rPr>
              <w:t>在通知公告中，创建多个公告显示计划。前台展示公告内容，当多个计划的时间互相重叠时，滚动播放每个计划内的公告内容。</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（2）</w:t>
            </w:r>
            <w:r>
              <w:rPr>
                <w:b w:val="0"/>
                <w:bCs/>
                <w:color w:val="auto"/>
                <w:sz w:val="24"/>
                <w:szCs w:val="24"/>
                <w:lang w:eastAsia="zh-CN"/>
              </w:rPr>
              <w:t>相册中心</w:t>
            </w:r>
            <w:r>
              <w:rPr>
                <w:rFonts w:hint="eastAsia"/>
                <w:b w:val="0"/>
                <w:bCs/>
                <w:color w:val="auto"/>
                <w:sz w:val="24"/>
                <w:szCs w:val="24"/>
                <w:lang w:eastAsia="zh-CN"/>
              </w:rPr>
              <w:t>：</w:t>
            </w:r>
            <w:r>
              <w:rPr>
                <w:b w:val="0"/>
                <w:bCs/>
                <w:color w:val="auto"/>
                <w:sz w:val="24"/>
                <w:szCs w:val="24"/>
                <w:lang w:eastAsia="zh-CN"/>
              </w:rPr>
              <w:t>可上传保存组织建设活动相关图片，可在前台首页对应菜单查看展示效果。</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（3）</w:t>
            </w:r>
            <w:r>
              <w:rPr>
                <w:b w:val="0"/>
                <w:bCs/>
                <w:color w:val="auto"/>
                <w:sz w:val="24"/>
                <w:szCs w:val="24"/>
                <w:lang w:eastAsia="zh-CN"/>
              </w:rPr>
              <w:t>荣誉中心</w:t>
            </w:r>
            <w:r>
              <w:rPr>
                <w:rFonts w:hint="eastAsia"/>
                <w:b w:val="0"/>
                <w:bCs/>
                <w:color w:val="auto"/>
                <w:sz w:val="24"/>
                <w:szCs w:val="24"/>
                <w:lang w:eastAsia="zh-CN"/>
              </w:rPr>
              <w:t>：</w:t>
            </w:r>
            <w:r>
              <w:rPr>
                <w:b w:val="0"/>
                <w:bCs/>
                <w:color w:val="auto"/>
                <w:sz w:val="24"/>
                <w:szCs w:val="24"/>
                <w:lang w:eastAsia="zh-CN"/>
              </w:rPr>
              <w:t>管理荣誉证书，分为荣誉类型管理和荣誉列表管理。</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（4）</w:t>
            </w:r>
            <w:r>
              <w:rPr>
                <w:b w:val="0"/>
                <w:bCs/>
                <w:color w:val="auto"/>
                <w:sz w:val="24"/>
                <w:szCs w:val="24"/>
                <w:lang w:eastAsia="zh-CN"/>
              </w:rPr>
              <w:t>组织生活</w:t>
            </w:r>
            <w:r>
              <w:rPr>
                <w:rFonts w:hint="eastAsia"/>
                <w:b w:val="0"/>
                <w:bCs/>
                <w:color w:val="auto"/>
                <w:sz w:val="24"/>
                <w:szCs w:val="24"/>
                <w:lang w:eastAsia="zh-CN"/>
              </w:rPr>
              <w:t>：</w:t>
            </w:r>
            <w:r>
              <w:rPr>
                <w:b w:val="0"/>
                <w:bCs/>
                <w:color w:val="auto"/>
                <w:sz w:val="24"/>
                <w:szCs w:val="24"/>
                <w:lang w:eastAsia="zh-CN"/>
              </w:rPr>
              <w:t>组织生活主要用于会议和活动相关记录的展示数据录入。默认可添加党内各种活动，包括党小组会、党员大会、党的各级委员会召开的会议、党代表大会、党内选举、党的民主生活会等类型的记录，并支持自定义修改和添加更多类型。</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（5）</w:t>
            </w:r>
            <w:r>
              <w:rPr>
                <w:b w:val="0"/>
                <w:bCs/>
                <w:color w:val="auto"/>
                <w:sz w:val="24"/>
                <w:szCs w:val="24"/>
                <w:lang w:eastAsia="zh-CN"/>
              </w:rPr>
              <w:t>心声驿站</w:t>
            </w:r>
            <w:r>
              <w:rPr>
                <w:rFonts w:hint="eastAsia"/>
                <w:b w:val="0"/>
                <w:bCs/>
                <w:color w:val="auto"/>
                <w:sz w:val="24"/>
                <w:szCs w:val="24"/>
                <w:lang w:eastAsia="zh-CN"/>
              </w:rPr>
              <w:t>：</w:t>
            </w:r>
            <w:r>
              <w:rPr>
                <w:b w:val="0"/>
                <w:bCs/>
                <w:color w:val="auto"/>
                <w:sz w:val="24"/>
                <w:szCs w:val="24"/>
                <w:lang w:eastAsia="zh-CN"/>
              </w:rPr>
              <w:t>心声驿站主要功能是记录人们的语音或文字留言，可以在前台首页点击倾听/查看人们的留言（以文字或声音的形式）。留言内容可以通过后台上传，或者通过移动设备端扫描前台“心声驿站”页面上的二维码录音上传。</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6.融媒体中心</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（1）</w:t>
            </w:r>
            <w:r>
              <w:rPr>
                <w:b w:val="0"/>
                <w:bCs/>
                <w:color w:val="auto"/>
                <w:sz w:val="24"/>
                <w:szCs w:val="24"/>
                <w:lang w:eastAsia="zh-CN"/>
              </w:rPr>
              <w:t>资料库</w:t>
            </w:r>
            <w:r>
              <w:rPr>
                <w:rFonts w:hint="eastAsia"/>
                <w:b w:val="0"/>
                <w:bCs/>
                <w:color w:val="auto"/>
                <w:sz w:val="24"/>
                <w:szCs w:val="24"/>
                <w:lang w:eastAsia="zh-CN"/>
              </w:rPr>
              <w:t>：</w:t>
            </w:r>
            <w:r>
              <w:rPr>
                <w:b w:val="0"/>
                <w:bCs/>
                <w:color w:val="auto"/>
                <w:sz w:val="24"/>
                <w:szCs w:val="24"/>
                <w:lang w:eastAsia="zh-CN"/>
              </w:rPr>
              <w:t>管理融媒体中心中使用的资料，包含视频、图片、富文本（文章）、网页、电子书和图标。</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（2）</w:t>
            </w:r>
            <w:r>
              <w:rPr>
                <w:b w:val="0"/>
                <w:bCs/>
                <w:color w:val="auto"/>
                <w:sz w:val="24"/>
                <w:szCs w:val="24"/>
                <w:lang w:eastAsia="zh-CN"/>
              </w:rPr>
              <w:t>视频宣导</w:t>
            </w:r>
            <w:r>
              <w:rPr>
                <w:rFonts w:hint="eastAsia"/>
                <w:b w:val="0"/>
                <w:bCs/>
                <w:color w:val="auto"/>
                <w:sz w:val="24"/>
                <w:szCs w:val="24"/>
                <w:lang w:eastAsia="zh-CN"/>
              </w:rPr>
              <w:t>：</w:t>
            </w:r>
            <w:r>
              <w:rPr>
                <w:b w:val="0"/>
                <w:bCs/>
                <w:color w:val="auto"/>
                <w:sz w:val="24"/>
                <w:szCs w:val="24"/>
                <w:lang w:eastAsia="zh-CN"/>
              </w:rPr>
              <w:t>在视频宣导模块中，可以创建多个宣传展示计划，并为每个计划添加不同的视频或图片内容。当多个计划的时间互相重叠时，轮播每个计划内的内容。计划中的展示资料从资料库中选择或从本地上传。</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（3）</w:t>
            </w:r>
            <w:r>
              <w:rPr>
                <w:b w:val="0"/>
                <w:bCs/>
                <w:color w:val="auto"/>
                <w:sz w:val="24"/>
                <w:szCs w:val="24"/>
                <w:lang w:eastAsia="zh-CN"/>
              </w:rPr>
              <w:t>专栏中心</w:t>
            </w:r>
            <w:r>
              <w:rPr>
                <w:rFonts w:hint="eastAsia"/>
                <w:b w:val="0"/>
                <w:bCs/>
                <w:color w:val="auto"/>
                <w:sz w:val="24"/>
                <w:szCs w:val="24"/>
                <w:lang w:eastAsia="zh-CN"/>
              </w:rPr>
              <w:t>：</w:t>
            </w:r>
            <w:r>
              <w:rPr>
                <w:b w:val="0"/>
                <w:bCs/>
                <w:color w:val="auto"/>
                <w:sz w:val="24"/>
                <w:szCs w:val="24"/>
                <w:lang w:eastAsia="zh-CN"/>
              </w:rPr>
              <w:t>对应前台首页同名菜单模块，用户可以筹划专栏中心内容，素材从资料库添加，在前台查看最终呈现效果。</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（4）</w:t>
            </w:r>
            <w:r>
              <w:rPr>
                <w:b w:val="0"/>
                <w:bCs/>
                <w:color w:val="auto"/>
                <w:sz w:val="24"/>
                <w:szCs w:val="24"/>
                <w:lang w:eastAsia="zh-CN"/>
              </w:rPr>
              <w:t>新媒体中心</w:t>
            </w:r>
            <w:r>
              <w:rPr>
                <w:rFonts w:hint="eastAsia"/>
                <w:b w:val="0"/>
                <w:bCs/>
                <w:color w:val="auto"/>
                <w:sz w:val="24"/>
                <w:szCs w:val="24"/>
                <w:lang w:eastAsia="zh-CN"/>
              </w:rPr>
              <w:t>：</w:t>
            </w:r>
            <w:r>
              <w:rPr>
                <w:b w:val="0"/>
                <w:bCs/>
                <w:color w:val="auto"/>
                <w:sz w:val="24"/>
                <w:szCs w:val="24"/>
                <w:lang w:eastAsia="zh-CN"/>
              </w:rPr>
              <w:t>支持包含图文、视频、PDF等原创性内容的发布和展示，在前台新媒体中心模块中查看内容详情及呈现效果。</w:t>
            </w:r>
            <w:r>
              <w:rPr>
                <w:rFonts w:hint="eastAsia"/>
                <w:b/>
                <w:bCs w:val="0"/>
                <w:color w:val="auto"/>
                <w:sz w:val="24"/>
                <w:szCs w:val="24"/>
                <w:lang w:eastAsia="zh-CN"/>
              </w:rPr>
              <w:t>（提供符合相关功能的软件产品测试评估报告复印件，原件备查）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（5）组织要闻：党建组织部本地要闻资讯展示内容管理，支持包含图文、视频、PDF等原创性内容的发布管理，在前台要闻展示区可配置展示内容详情。</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（6）视讯中心：支持发布视频内容进行播放，在前台功能模块区可配置播放视频内容。</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7.云屏管理</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（1）画屏列表：管理所有联动画屏设备，进行批量更新、批量配置、批量增删等基础操作，并支持远程设置画屏定时计划和画屏基础配置。</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（2）素材管理：管理需要发布到画屏设备中的所有素材，包含图片、视频、网页链接等素材，支持</w:t>
            </w:r>
            <w:r>
              <w:rPr>
                <w:rFonts w:hint="eastAsia"/>
                <w:b w:val="0"/>
                <w:bCs/>
                <w:color w:val="auto"/>
                <w:sz w:val="24"/>
                <w:szCs w:val="24"/>
                <w:lang w:val="en-US" w:eastAsia="zh-CN"/>
              </w:rPr>
              <w:t>图片/视频</w:t>
            </w:r>
            <w:r>
              <w:rPr>
                <w:rFonts w:hint="eastAsia"/>
                <w:b w:val="0"/>
                <w:bCs/>
                <w:color w:val="auto"/>
                <w:sz w:val="24"/>
                <w:szCs w:val="24"/>
                <w:lang w:eastAsia="zh-CN"/>
              </w:rPr>
              <w:t>批量上传素材、素材快速分组等操作。</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（3）发布管理：具有多种素材发布方式，友好的新手引导发布，便捷的快捷发布，用于画屏联动一键切换的套图发布等，并支持回溯发布记录和下载记录。</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rFonts w:hint="eastAsia"/>
                <w:b w:val="0"/>
                <w:bCs/>
                <w:color w:val="auto"/>
                <w:sz w:val="24"/>
                <w:szCs w:val="24"/>
                <w:lang w:eastAsia="zh-CN"/>
              </w:rPr>
            </w:pPr>
            <w:r>
              <w:rPr>
                <w:rFonts w:hint="eastAsia"/>
                <w:b w:val="0"/>
                <w:bCs/>
                <w:color w:val="auto"/>
                <w:sz w:val="24"/>
                <w:szCs w:val="24"/>
                <w:lang w:eastAsia="zh-CN"/>
              </w:rPr>
              <w:t>（4）套图切换：预设好各个设备上要一键切换的套图内容，点击【一键发布】即可在各个设备上同步切换成指定内容。</w:t>
            </w:r>
            <w:r>
              <w:rPr>
                <w:rFonts w:hint="eastAsia"/>
                <w:b/>
                <w:bCs w:val="0"/>
                <w:color w:val="auto"/>
                <w:sz w:val="24"/>
                <w:szCs w:val="24"/>
                <w:lang w:eastAsia="zh-CN"/>
              </w:rPr>
              <w:t>（提供符合相关功能的软件产品测试报告复印件，原件备查）</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rFonts w:hint="default"/>
                <w:b w:val="0"/>
                <w:bCs/>
                <w:color w:val="auto"/>
                <w:sz w:val="24"/>
                <w:szCs w:val="24"/>
                <w:lang w:val="en-US" w:eastAsia="zh-CN"/>
              </w:rPr>
            </w:pPr>
            <w:r>
              <w:rPr>
                <w:rFonts w:hint="eastAsia"/>
                <w:b w:val="0"/>
                <w:bCs/>
                <w:color w:val="auto"/>
                <w:sz w:val="24"/>
                <w:szCs w:val="24"/>
                <w:lang w:eastAsia="zh-CN"/>
              </w:rPr>
              <w:t>（</w:t>
            </w:r>
            <w:r>
              <w:rPr>
                <w:rFonts w:hint="eastAsia"/>
                <w:b w:val="0"/>
                <w:bCs/>
                <w:color w:val="auto"/>
                <w:sz w:val="24"/>
                <w:szCs w:val="24"/>
                <w:lang w:val="en-US" w:eastAsia="zh-CN"/>
              </w:rPr>
              <w:t>5）多屏联动：可对单个画屏远程控制播放视频、图片或网页素材，并支持一键同时控制多个画屏显示不同的素材内容。</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8.系统管理</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（1）主题管理：支持配置多个主题，可便捷的对前台主页进行快速启用、禁用切换主题界面</w:t>
            </w:r>
            <w:r>
              <w:rPr>
                <w:rFonts w:hint="eastAsia"/>
                <w:b w:val="0"/>
                <w:bCs/>
                <w:color w:val="auto"/>
                <w:sz w:val="24"/>
                <w:szCs w:val="24"/>
                <w:lang w:val="en-US" w:eastAsia="zh-CN"/>
              </w:rPr>
              <w:t>模块</w:t>
            </w:r>
            <w:r>
              <w:rPr>
                <w:rFonts w:hint="eastAsia"/>
                <w:b w:val="0"/>
                <w:bCs/>
                <w:color w:val="auto"/>
                <w:sz w:val="24"/>
                <w:szCs w:val="24"/>
                <w:lang w:eastAsia="zh-CN"/>
              </w:rPr>
              <w:t>。</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（2）网络信息：支持查看本机网络基础信息，包含设备IP、DNS</w:t>
            </w:r>
            <w:r>
              <w:rPr>
                <w:rFonts w:hint="eastAsia"/>
                <w:b w:val="0"/>
                <w:bCs/>
                <w:color w:val="auto"/>
                <w:sz w:val="24"/>
                <w:szCs w:val="24"/>
                <w:lang w:val="en-US" w:eastAsia="zh-CN"/>
              </w:rPr>
              <w:t>和默认网关</w:t>
            </w:r>
            <w:r>
              <w:rPr>
                <w:rFonts w:hint="eastAsia"/>
                <w:b w:val="0"/>
                <w:bCs/>
                <w:color w:val="auto"/>
                <w:sz w:val="24"/>
                <w:szCs w:val="24"/>
                <w:lang w:eastAsia="zh-CN"/>
              </w:rPr>
              <w:t>等基础网络信息。</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b w:val="0"/>
                <w:bCs/>
                <w:color w:val="auto"/>
                <w:sz w:val="24"/>
                <w:szCs w:val="24"/>
                <w:lang w:eastAsia="zh-CN"/>
              </w:rPr>
            </w:pPr>
            <w:r>
              <w:rPr>
                <w:rFonts w:hint="eastAsia"/>
                <w:b w:val="0"/>
                <w:bCs/>
                <w:color w:val="auto"/>
                <w:sz w:val="24"/>
                <w:szCs w:val="24"/>
                <w:lang w:eastAsia="zh-CN"/>
              </w:rPr>
              <w:t>（3）定时计划：设置定时关机、定时重启计划，并支持按照每天、星期、日期设置多个计划；</w:t>
            </w:r>
          </w:p>
          <w:p>
            <w:pPr>
              <w:pStyle w:val="16"/>
              <w:keepNext w:val="0"/>
              <w:keepLines w:val="0"/>
              <w:pageBreakBefore w:val="0"/>
              <w:widowControl w:val="0"/>
              <w:kinsoku/>
              <w:wordWrap/>
              <w:overflowPunct/>
              <w:topLinePunct w:val="0"/>
              <w:autoSpaceDE/>
              <w:autoSpaceDN/>
              <w:bidi w:val="0"/>
              <w:adjustRightInd/>
              <w:snapToGrid/>
              <w:spacing w:after="0" w:afterLines="0" w:line="360" w:lineRule="auto"/>
              <w:ind w:firstLine="0" w:firstLineChars="0"/>
              <w:jc w:val="both"/>
              <w:textAlignment w:val="auto"/>
              <w:rPr>
                <w:rFonts w:hint="eastAsia"/>
                <w:b w:val="0"/>
                <w:bCs/>
                <w:color w:val="auto"/>
                <w:sz w:val="24"/>
                <w:szCs w:val="24"/>
                <w:lang w:eastAsia="zh-CN"/>
              </w:rPr>
            </w:pPr>
            <w:r>
              <w:rPr>
                <w:rFonts w:hint="eastAsia"/>
                <w:b w:val="0"/>
                <w:bCs/>
                <w:color w:val="auto"/>
                <w:sz w:val="24"/>
                <w:szCs w:val="24"/>
                <w:lang w:eastAsia="zh-CN"/>
              </w:rPr>
              <w:t xml:space="preserve">9. </w:t>
            </w:r>
            <w:r>
              <w:rPr>
                <w:rFonts w:hint="eastAsia"/>
                <w:b/>
                <w:bCs w:val="0"/>
                <w:color w:val="auto"/>
                <w:sz w:val="24"/>
                <w:szCs w:val="24"/>
                <w:lang w:eastAsia="zh-CN"/>
              </w:rPr>
              <w:t>提供“2.首页模块”横屏（界面比例16:9）和竖屏(界面比例9:16）两种适配展示界面的截图。</w:t>
            </w:r>
          </w:p>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14:textFill>
                  <w14:solidFill>
                    <w14:schemeClr w14:val="tx1"/>
                  </w14:solidFill>
                </w14:textFill>
              </w:rPr>
            </w:pPr>
            <w:r>
              <w:rPr>
                <w:rFonts w:hint="eastAsia"/>
                <w:b w:val="0"/>
                <w:bCs/>
                <w:color w:val="auto"/>
                <w:sz w:val="24"/>
                <w:szCs w:val="24"/>
                <w:lang w:val="en-US" w:eastAsia="zh-CN"/>
              </w:rPr>
              <w:t>10.</w:t>
            </w:r>
            <w:r>
              <w:rPr>
                <w:rFonts w:hint="eastAsia"/>
                <w:b/>
                <w:bCs w:val="0"/>
                <w:color w:val="auto"/>
                <w:sz w:val="24"/>
                <w:szCs w:val="24"/>
                <w:lang w:val="en-US" w:eastAsia="zh-CN"/>
              </w:rPr>
              <w:t xml:space="preserve"> </w:t>
            </w:r>
            <w:r>
              <w:rPr>
                <w:rFonts w:hint="eastAsia"/>
                <w:b/>
                <w:bCs w:val="0"/>
                <w:color w:val="auto"/>
                <w:sz w:val="24"/>
                <w:szCs w:val="24"/>
                <w:lang w:eastAsia="zh-CN"/>
              </w:rPr>
              <w:t>提供至少1份产品相关计算机软件著作权登记证书</w:t>
            </w:r>
            <w:r>
              <w:rPr>
                <w:rFonts w:hint="eastAsia"/>
                <w:b/>
                <w:bCs w:val="0"/>
                <w:color w:val="auto"/>
                <w:sz w:val="24"/>
                <w:szCs w:val="24"/>
                <w:lang w:val="en-US" w:eastAsia="zh-CN"/>
              </w:rPr>
              <w:t>复印件，原件备查</w:t>
            </w:r>
            <w:r>
              <w:rPr>
                <w:rFonts w:hint="eastAsia"/>
                <w:b/>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t>2</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14:textFill>
                  <w14:solidFill>
                    <w14:schemeClr w14:val="tx1"/>
                  </w14:solidFill>
                </w14:textFill>
              </w:rPr>
            </w:pPr>
            <w:r>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t>32寸AI数字画屏智能终端</w:t>
            </w:r>
          </w:p>
        </w:tc>
        <w:tc>
          <w:tcPr>
            <w:tcW w:w="5888" w:type="dxa"/>
            <w:vAlign w:val="center"/>
          </w:tcPr>
          <w:p>
            <w:pPr>
              <w:ind w:firstLine="0" w:firstLineChars="0"/>
              <w:jc w:val="left"/>
              <w:rPr>
                <w:rFonts w:hint="eastAsia"/>
                <w:color w:val="auto"/>
                <w:sz w:val="24"/>
                <w:lang w:eastAsia="zh-CN"/>
              </w:rPr>
            </w:pPr>
            <w:r>
              <w:rPr>
                <w:rFonts w:hint="eastAsia"/>
                <w:color w:val="auto"/>
                <w:sz w:val="24"/>
                <w:lang w:eastAsia="zh-CN"/>
              </w:rPr>
              <w:t>硬件参数</w:t>
            </w:r>
          </w:p>
          <w:p>
            <w:pPr>
              <w:numPr>
                <w:ilvl w:val="0"/>
                <w:numId w:val="9"/>
              </w:numPr>
              <w:ind w:left="425" w:leftChars="0" w:hanging="425" w:firstLineChars="0"/>
              <w:jc w:val="left"/>
              <w:rPr>
                <w:color w:val="auto"/>
                <w:sz w:val="24"/>
              </w:rPr>
            </w:pPr>
            <w:r>
              <w:rPr>
                <w:rFonts w:hint="eastAsia"/>
                <w:color w:val="auto"/>
                <w:sz w:val="24"/>
              </w:rPr>
              <w:t>屏幕不小于32寸；</w:t>
            </w:r>
          </w:p>
          <w:p>
            <w:pPr>
              <w:numPr>
                <w:ilvl w:val="0"/>
                <w:numId w:val="9"/>
              </w:numPr>
              <w:ind w:left="425" w:leftChars="0" w:hanging="425" w:firstLineChars="0"/>
              <w:jc w:val="left"/>
              <w:rPr>
                <w:color w:val="auto"/>
                <w:sz w:val="24"/>
              </w:rPr>
            </w:pPr>
            <w:r>
              <w:rPr>
                <w:rFonts w:hint="eastAsia"/>
                <w:color w:val="auto"/>
                <w:sz w:val="24"/>
              </w:rPr>
              <w:t>颜色选择：红木色，原木色，柚木色；</w:t>
            </w:r>
          </w:p>
          <w:p>
            <w:pPr>
              <w:numPr>
                <w:ilvl w:val="0"/>
                <w:numId w:val="9"/>
              </w:numPr>
              <w:ind w:left="425" w:leftChars="0" w:hanging="425" w:firstLineChars="0"/>
              <w:jc w:val="left"/>
              <w:rPr>
                <w:color w:val="auto"/>
                <w:sz w:val="24"/>
              </w:rPr>
            </w:pPr>
            <w:r>
              <w:rPr>
                <w:rFonts w:hint="eastAsia"/>
                <w:color w:val="auto"/>
                <w:sz w:val="24"/>
              </w:rPr>
              <w:t>功率：整体功率不高于</w:t>
            </w:r>
            <w:r>
              <w:rPr>
                <w:color w:val="auto"/>
                <w:sz w:val="24"/>
              </w:rPr>
              <w:t>45</w:t>
            </w:r>
            <w:r>
              <w:rPr>
                <w:rFonts w:hint="eastAsia"/>
                <w:color w:val="auto"/>
                <w:sz w:val="24"/>
              </w:rPr>
              <w:t>W，待机功率不高于</w:t>
            </w:r>
            <w:r>
              <w:rPr>
                <w:color w:val="auto"/>
                <w:sz w:val="24"/>
              </w:rPr>
              <w:t>1</w:t>
            </w:r>
            <w:r>
              <w:rPr>
                <w:rFonts w:hint="eastAsia"/>
                <w:color w:val="auto"/>
                <w:sz w:val="24"/>
              </w:rPr>
              <w:t>W；</w:t>
            </w:r>
          </w:p>
          <w:p>
            <w:pPr>
              <w:numPr>
                <w:ilvl w:val="0"/>
                <w:numId w:val="9"/>
              </w:numPr>
              <w:ind w:left="425" w:leftChars="0" w:hanging="425" w:firstLineChars="0"/>
              <w:jc w:val="left"/>
              <w:rPr>
                <w:color w:val="auto"/>
                <w:sz w:val="24"/>
              </w:rPr>
            </w:pPr>
            <w:r>
              <w:rPr>
                <w:rFonts w:hint="eastAsia"/>
                <w:color w:val="auto"/>
                <w:sz w:val="24"/>
              </w:rPr>
              <w:t>亮度不低于</w:t>
            </w:r>
            <w:r>
              <w:rPr>
                <w:color w:val="auto"/>
                <w:sz w:val="24"/>
              </w:rPr>
              <w:t>300</w:t>
            </w:r>
            <w:r>
              <w:rPr>
                <w:rFonts w:hint="eastAsia"/>
                <w:color w:val="auto"/>
                <w:sz w:val="24"/>
              </w:rPr>
              <w:t>cd/m2；</w:t>
            </w:r>
          </w:p>
          <w:p>
            <w:pPr>
              <w:numPr>
                <w:ilvl w:val="0"/>
                <w:numId w:val="9"/>
              </w:numPr>
              <w:ind w:left="425" w:leftChars="0" w:hanging="425" w:firstLineChars="0"/>
              <w:jc w:val="left"/>
              <w:rPr>
                <w:color w:val="auto"/>
                <w:sz w:val="24"/>
              </w:rPr>
            </w:pPr>
            <w:r>
              <w:rPr>
                <w:rFonts w:hint="eastAsia"/>
                <w:color w:val="auto"/>
                <w:sz w:val="24"/>
              </w:rPr>
              <w:t>额定电压支持100-240V~50/60Hz；</w:t>
            </w:r>
          </w:p>
          <w:p>
            <w:pPr>
              <w:numPr>
                <w:ilvl w:val="0"/>
                <w:numId w:val="9"/>
              </w:numPr>
              <w:ind w:left="425" w:leftChars="0" w:hanging="425" w:firstLineChars="0"/>
              <w:jc w:val="left"/>
              <w:rPr>
                <w:color w:val="auto"/>
                <w:sz w:val="24"/>
              </w:rPr>
            </w:pPr>
            <w:r>
              <w:rPr>
                <w:rFonts w:hint="eastAsia"/>
                <w:color w:val="auto"/>
                <w:sz w:val="24"/>
              </w:rPr>
              <w:t>产品尺寸不小于</w:t>
            </w:r>
            <w:r>
              <w:rPr>
                <w:color w:val="auto"/>
                <w:sz w:val="24"/>
              </w:rPr>
              <w:t>795mm*489mm*47mm</w:t>
            </w:r>
            <w:r>
              <w:rPr>
                <w:rFonts w:hint="eastAsia"/>
                <w:color w:val="auto"/>
                <w:sz w:val="24"/>
              </w:rPr>
              <w:t>；</w:t>
            </w:r>
          </w:p>
          <w:p>
            <w:pPr>
              <w:numPr>
                <w:ilvl w:val="0"/>
                <w:numId w:val="9"/>
              </w:numPr>
              <w:ind w:left="425" w:leftChars="0" w:hanging="425" w:firstLineChars="0"/>
              <w:jc w:val="left"/>
              <w:rPr>
                <w:color w:val="auto"/>
                <w:sz w:val="24"/>
              </w:rPr>
            </w:pPr>
            <w:r>
              <w:rPr>
                <w:rFonts w:hint="eastAsia"/>
                <w:color w:val="auto"/>
                <w:sz w:val="24"/>
              </w:rPr>
              <w:t>产品重量不小于</w:t>
            </w:r>
            <w:r>
              <w:rPr>
                <w:color w:val="auto"/>
                <w:sz w:val="24"/>
              </w:rPr>
              <w:t>9.7</w:t>
            </w:r>
            <w:r>
              <w:rPr>
                <w:rFonts w:hint="eastAsia"/>
                <w:color w:val="auto"/>
                <w:sz w:val="24"/>
              </w:rPr>
              <w:t>KG；</w:t>
            </w:r>
          </w:p>
          <w:p>
            <w:pPr>
              <w:numPr>
                <w:ilvl w:val="0"/>
                <w:numId w:val="9"/>
              </w:numPr>
              <w:ind w:left="425" w:leftChars="0" w:hanging="425" w:firstLineChars="0"/>
              <w:jc w:val="left"/>
              <w:rPr>
                <w:color w:val="auto"/>
                <w:sz w:val="24"/>
              </w:rPr>
            </w:pPr>
            <w:r>
              <w:rPr>
                <w:rFonts w:hint="eastAsia"/>
                <w:color w:val="auto"/>
                <w:sz w:val="24"/>
              </w:rPr>
              <w:t>支持无损伽马技术；</w:t>
            </w:r>
          </w:p>
          <w:p>
            <w:pPr>
              <w:numPr>
                <w:ilvl w:val="0"/>
                <w:numId w:val="9"/>
              </w:numPr>
              <w:ind w:left="425" w:leftChars="0" w:hanging="425" w:firstLineChars="0"/>
              <w:jc w:val="left"/>
              <w:rPr>
                <w:color w:val="auto"/>
                <w:sz w:val="24"/>
              </w:rPr>
            </w:pPr>
            <w:r>
              <w:rPr>
                <w:rFonts w:hint="eastAsia"/>
                <w:color w:val="auto"/>
                <w:sz w:val="24"/>
              </w:rPr>
              <w:t>支持178度可视角度；</w:t>
            </w:r>
          </w:p>
          <w:p>
            <w:pPr>
              <w:numPr>
                <w:ilvl w:val="0"/>
                <w:numId w:val="9"/>
              </w:numPr>
              <w:ind w:left="425" w:leftChars="0" w:hanging="425" w:firstLineChars="0"/>
              <w:jc w:val="left"/>
              <w:rPr>
                <w:color w:val="auto"/>
                <w:sz w:val="24"/>
              </w:rPr>
            </w:pPr>
            <w:r>
              <w:rPr>
                <w:rFonts w:hint="eastAsia"/>
                <w:color w:val="auto"/>
                <w:sz w:val="24"/>
              </w:rPr>
              <w:t>配置声音系统</w:t>
            </w:r>
            <w:r>
              <w:rPr>
                <w:rFonts w:hint="eastAsia"/>
                <w:color w:val="auto"/>
                <w:sz w:val="24"/>
                <w:lang w:eastAsia="zh-CN"/>
              </w:rPr>
              <w:t>；</w:t>
            </w:r>
          </w:p>
          <w:p>
            <w:pPr>
              <w:numPr>
                <w:ilvl w:val="0"/>
                <w:numId w:val="0"/>
              </w:numPr>
              <w:ind w:leftChars="0"/>
              <w:rPr>
                <w:rFonts w:hint="eastAsia" w:ascii="宋体" w:hAnsi="宋体" w:eastAsia="宋体" w:cs="宋体"/>
                <w:color w:val="000000" w:themeColor="text1"/>
                <w:spacing w:val="0"/>
                <w:w w:val="100"/>
                <w:position w:val="0"/>
                <w:sz w:val="24"/>
                <w:szCs w:val="24"/>
                <w:vertAlign w:val="baseline"/>
                <w14:textFill>
                  <w14:solidFill>
                    <w14:schemeClr w14:val="tx1"/>
                  </w14:solidFill>
                </w14:textFill>
              </w:rPr>
            </w:pPr>
            <w:r>
              <w:rPr>
                <w:rFonts w:hint="eastAsia"/>
                <w:b/>
                <w:bCs/>
                <w:color w:val="auto"/>
                <w:sz w:val="24"/>
                <w:lang w:val="en-US" w:eastAsia="zh-CN"/>
              </w:rPr>
              <w:t>提供产品型号的3C认证证书复印件加盖公章；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3</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i w:val="0"/>
                <w:iCs w:val="0"/>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cs="宋体"/>
                <w:i w:val="0"/>
                <w:iCs w:val="0"/>
                <w:color w:val="000000" w:themeColor="text1"/>
                <w:spacing w:val="0"/>
                <w:w w:val="100"/>
                <w:kern w:val="0"/>
                <w:position w:val="0"/>
                <w:sz w:val="24"/>
                <w:szCs w:val="24"/>
                <w:u w:val="none"/>
                <w:shd w:val="clear" w:color="auto" w:fill="auto"/>
                <w:lang w:val="en-US" w:eastAsia="zh-CN" w:bidi="ar"/>
                <w14:textFill>
                  <w14:solidFill>
                    <w14:schemeClr w14:val="tx1"/>
                  </w14:solidFill>
                </w14:textFill>
              </w:rPr>
              <w:t>55</w:t>
            </w:r>
            <w:r>
              <w:rPr>
                <w:rFonts w:hint="eastAsia" w:ascii="宋体" w:hAnsi="宋体" w:eastAsia="宋体" w:cs="宋体"/>
                <w:i w:val="0"/>
                <w:iCs w:val="0"/>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寸AI数字画屏智能终端</w:t>
            </w:r>
          </w:p>
        </w:tc>
        <w:tc>
          <w:tcPr>
            <w:tcW w:w="5888" w:type="dxa"/>
            <w:vAlign w:val="center"/>
          </w:tcPr>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屏幕尺寸：55寸；</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支持4K高分辨率。</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颜色选择：柚木色；</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功率：整体功率不高于125W，待机功率不高于1W；</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亮度：250cd/m2；</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额定电压支持100-240V~50/60Hz；</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产品尺寸：1292mm*763mm*66mm；</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产品重量：25KG；</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支持无损伽马技术；</w:t>
            </w:r>
          </w:p>
          <w:p>
            <w:pPr>
              <w:numPr>
                <w:ilvl w:val="0"/>
                <w:numId w:val="10"/>
              </w:numPr>
              <w:spacing w:line="360" w:lineRule="exact"/>
              <w:ind w:firstLine="0" w:firstLineChars="0"/>
              <w:rPr>
                <w:rFonts w:hint="eastAsia"/>
                <w:color w:val="auto"/>
                <w:sz w:val="24"/>
                <w:lang w:val="en-US" w:eastAsia="zh-CN"/>
              </w:rPr>
            </w:pPr>
            <w:r>
              <w:rPr>
                <w:rFonts w:hint="eastAsia"/>
                <w:color w:val="auto"/>
                <w:sz w:val="24"/>
                <w:lang w:val="en-US" w:eastAsia="zh-CN"/>
              </w:rPr>
              <w:t>支持178度可视角度；</w:t>
            </w:r>
          </w:p>
          <w:p>
            <w:pPr>
              <w:numPr>
                <w:ilvl w:val="0"/>
                <w:numId w:val="10"/>
              </w:numPr>
              <w:ind w:left="0" w:leftChars="0" w:firstLine="0" w:firstLineChars="0"/>
              <w:jc w:val="left"/>
              <w:rPr>
                <w:rFonts w:hint="eastAsia"/>
                <w:color w:val="auto"/>
                <w:sz w:val="24"/>
              </w:rPr>
            </w:pPr>
            <w:r>
              <w:rPr>
                <w:rFonts w:hint="eastAsia"/>
                <w:color w:val="auto"/>
                <w:sz w:val="24"/>
                <w:lang w:val="en-US" w:eastAsia="zh-CN"/>
              </w:rPr>
              <w:t>配置声音系统；</w:t>
            </w:r>
          </w:p>
          <w:p>
            <w:pPr>
              <w:numPr>
                <w:ilvl w:val="0"/>
                <w:numId w:val="0"/>
              </w:numPr>
              <w:ind w:leftChars="0"/>
              <w:rPr>
                <w:rFonts w:hint="eastAsia" w:ascii="宋体" w:hAnsi="宋体" w:eastAsia="宋体" w:cs="宋体"/>
                <w:b/>
                <w:bCs w:val="0"/>
                <w:color w:val="FF0000"/>
                <w:sz w:val="24"/>
                <w:szCs w:val="24"/>
                <w:lang w:val="en-US" w:eastAsia="zh-CN"/>
              </w:rPr>
            </w:pPr>
            <w:r>
              <w:rPr>
                <w:rFonts w:hint="eastAsia"/>
                <w:b/>
                <w:bCs/>
                <w:color w:val="auto"/>
                <w:sz w:val="24"/>
                <w:lang w:val="en-US" w:eastAsia="zh-CN"/>
              </w:rPr>
              <w:t>提供产品型号的3C认证证书复印件加盖公章；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4</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default" w:ascii="宋体" w:hAnsi="宋体" w:eastAsia="宋体" w:cs="宋体"/>
                <w:color w:val="000000" w:themeColor="text1"/>
                <w:spacing w:val="0"/>
                <w:w w:val="100"/>
                <w:position w:val="0"/>
                <w:sz w:val="24"/>
                <w:szCs w:val="24"/>
                <w:vertAlign w:val="baseline"/>
                <w:lang w:val="en-US"/>
                <w14:textFill>
                  <w14:solidFill>
                    <w14:schemeClr w14:val="tx1"/>
                  </w14:solidFill>
                </w14:textFill>
              </w:rPr>
            </w:pPr>
            <w:r>
              <w:rPr>
                <w:rFonts w:hint="eastAsia" w:ascii="宋体" w:hAnsi="宋体" w:eastAsia="宋体" w:cs="宋体"/>
                <w:i w:val="0"/>
                <w:iCs w:val="0"/>
                <w:color w:val="000000" w:themeColor="text1"/>
                <w:spacing w:val="0"/>
                <w:w w:val="100"/>
                <w:kern w:val="0"/>
                <w:position w:val="0"/>
                <w:sz w:val="24"/>
                <w:szCs w:val="24"/>
                <w:u w:val="none"/>
                <w:shd w:val="clear" w:color="auto" w:fill="auto"/>
                <w:lang w:val="en-US" w:eastAsia="zh-CN" w:bidi="ar"/>
                <w14:textFill>
                  <w14:solidFill>
                    <w14:schemeClr w14:val="tx1"/>
                  </w14:solidFill>
                </w14:textFill>
              </w:rPr>
              <w:t>AI党建云盒</w:t>
            </w:r>
          </w:p>
        </w:tc>
        <w:tc>
          <w:tcPr>
            <w:tcW w:w="5888" w:type="dxa"/>
            <w:vAlign w:val="center"/>
          </w:tcPr>
          <w:p>
            <w:pPr>
              <w:ind w:firstLine="0" w:firstLineChars="0"/>
              <w:jc w:val="left"/>
              <w:rPr>
                <w:rFonts w:hint="eastAsia" w:ascii="宋体" w:hAnsi="宋体" w:eastAsia="宋体" w:cs="宋体"/>
                <w:b/>
                <w:bCs w:val="0"/>
                <w:color w:val="000000" w:themeColor="text1"/>
                <w:sz w:val="24"/>
                <w:szCs w:val="24"/>
                <w:lang w:eastAsia="zh-CN"/>
                <w14:textFill>
                  <w14:solidFill>
                    <w14:schemeClr w14:val="tx1"/>
                  </w14:solidFill>
                </w14:textFill>
              </w:rPr>
            </w:pPr>
            <w:r>
              <w:rPr>
                <w:rFonts w:hint="eastAsia" w:ascii="宋体" w:hAnsi="宋体" w:eastAsia="宋体" w:cs="宋体"/>
                <w:b/>
                <w:bCs w:val="0"/>
                <w:color w:val="000000" w:themeColor="text1"/>
                <w:sz w:val="24"/>
                <w:szCs w:val="24"/>
                <w:lang w:eastAsia="zh-CN"/>
                <w14:textFill>
                  <w14:solidFill>
                    <w14:schemeClr w14:val="tx1"/>
                  </w14:solidFill>
                </w14:textFill>
              </w:rPr>
              <w:t>软件功能</w:t>
            </w:r>
          </w:p>
          <w:p>
            <w:pPr>
              <w:numPr>
                <w:ilvl w:val="0"/>
                <w:numId w:val="11"/>
              </w:numPr>
              <w:ind w:left="425" w:leftChars="0" w:hanging="425"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通用设置：支持配置终端名称、音量、屏幕旋转方向，查看版本信息；</w:t>
            </w:r>
          </w:p>
          <w:p>
            <w:pPr>
              <w:numPr>
                <w:ilvl w:val="0"/>
                <w:numId w:val="11"/>
              </w:numPr>
              <w:ind w:left="425" w:leftChars="0" w:hanging="425"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播放设置：支持设置播放图片时的内容刷新时间和播放规则（单项播放、列表循环播放）</w:t>
            </w:r>
          </w:p>
          <w:p>
            <w:pPr>
              <w:numPr>
                <w:ilvl w:val="0"/>
                <w:numId w:val="11"/>
              </w:numPr>
              <w:ind w:left="425" w:leftChars="0" w:hanging="425"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存储设置：查看设备存储情况和已下载到本地的文件列表；</w:t>
            </w:r>
          </w:p>
          <w:p>
            <w:pPr>
              <w:numPr>
                <w:ilvl w:val="0"/>
                <w:numId w:val="11"/>
              </w:numPr>
              <w:ind w:left="425" w:leftChars="0" w:hanging="425"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网络设置：查看本机网络连接基础信息；</w:t>
            </w:r>
          </w:p>
          <w:p>
            <w:pPr>
              <w:numPr>
                <w:ilvl w:val="0"/>
                <w:numId w:val="11"/>
              </w:numPr>
              <w:ind w:left="425" w:leftChars="0" w:hanging="425" w:firstLineChars="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服务器设置：支持手动设置服务端地址、端口、连接码等信息，完成服务器连接操作；</w:t>
            </w:r>
          </w:p>
          <w:p>
            <w:pPr>
              <w:numPr>
                <w:ilvl w:val="0"/>
                <w:numId w:val="11"/>
              </w:numPr>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定时设置：支持设置定时开关机功能；</w:t>
            </w:r>
          </w:p>
          <w:p>
            <w:pPr>
              <w:numPr>
                <w:ilvl w:val="0"/>
                <w:numId w:val="0"/>
              </w:numPr>
              <w:ind w:leftChars="0"/>
              <w:rPr>
                <w:rFonts w:hint="eastAsia"/>
                <w:b/>
                <w:bCs/>
                <w:color w:val="auto"/>
                <w:sz w:val="24"/>
              </w:rPr>
            </w:pPr>
            <w:r>
              <w:rPr>
                <w:rFonts w:hint="eastAsia" w:ascii="宋体" w:hAnsi="宋体" w:cs="宋体"/>
                <w:b/>
                <w:bCs/>
                <w:color w:val="auto"/>
                <w:sz w:val="24"/>
                <w:szCs w:val="24"/>
                <w:lang w:val="en-US" w:eastAsia="zh-CN"/>
              </w:rPr>
              <w:t>须</w:t>
            </w:r>
            <w:r>
              <w:rPr>
                <w:rFonts w:hint="eastAsia" w:ascii="宋体" w:hAnsi="宋体" w:eastAsia="宋体" w:cs="宋体"/>
                <w:b/>
                <w:bCs/>
                <w:color w:val="auto"/>
                <w:sz w:val="24"/>
                <w:szCs w:val="24"/>
                <w:lang w:val="en-US" w:eastAsia="zh-CN"/>
              </w:rPr>
              <w:t>提供</w:t>
            </w:r>
            <w:r>
              <w:rPr>
                <w:rFonts w:hint="eastAsia" w:ascii="宋体" w:hAnsi="宋体" w:cs="宋体"/>
                <w:b/>
                <w:bCs/>
                <w:color w:val="auto"/>
                <w:sz w:val="24"/>
                <w:szCs w:val="24"/>
                <w:lang w:val="en-US" w:eastAsia="zh-CN"/>
              </w:rPr>
              <w:t>上述1</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至6</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参数</w:t>
            </w:r>
            <w:r>
              <w:rPr>
                <w:rFonts w:hint="eastAsia" w:ascii="宋体" w:hAnsi="宋体" w:eastAsia="宋体" w:cs="宋体"/>
                <w:b/>
                <w:bCs/>
                <w:color w:val="auto"/>
                <w:sz w:val="24"/>
                <w:szCs w:val="24"/>
                <w:lang w:val="en-US" w:eastAsia="zh-CN"/>
              </w:rPr>
              <w:t>相关功能的软件测试报告复印件加盖公章；</w:t>
            </w:r>
            <w:r>
              <w:rPr>
                <w:rFonts w:hint="eastAsia" w:ascii="宋体" w:hAnsi="宋体" w:cs="宋体"/>
                <w:b/>
                <w:bCs/>
                <w:color w:val="auto"/>
                <w:sz w:val="24"/>
                <w:szCs w:val="24"/>
                <w:lang w:val="en-US" w:eastAsia="zh-CN"/>
              </w:rPr>
              <w:t>并</w:t>
            </w:r>
            <w:r>
              <w:rPr>
                <w:rFonts w:hint="eastAsia" w:ascii="宋体" w:hAnsi="宋体" w:eastAsia="宋体" w:cs="宋体"/>
                <w:b/>
                <w:bCs/>
                <w:color w:val="auto"/>
                <w:sz w:val="24"/>
                <w:szCs w:val="24"/>
                <w:lang w:val="en-US" w:eastAsia="zh-CN"/>
              </w:rPr>
              <w:t>提供1.</w:t>
            </w:r>
            <w:r>
              <w:rPr>
                <w:rFonts w:hint="eastAsia" w:ascii="宋体" w:hAnsi="宋体" w:cs="宋体"/>
                <w:b/>
                <w:bCs/>
                <w:color w:val="auto"/>
                <w:sz w:val="24"/>
                <w:szCs w:val="24"/>
                <w:lang w:val="en-US" w:eastAsia="zh-CN"/>
              </w:rPr>
              <w:t>至</w:t>
            </w:r>
            <w:r>
              <w:rPr>
                <w:rFonts w:hint="eastAsia" w:ascii="宋体" w:hAnsi="宋体" w:eastAsia="宋体" w:cs="宋体"/>
                <w:b/>
                <w:bCs/>
                <w:color w:val="auto"/>
                <w:sz w:val="24"/>
                <w:szCs w:val="24"/>
                <w:lang w:val="en-US" w:eastAsia="zh-CN"/>
              </w:rPr>
              <w:t>6.</w:t>
            </w:r>
            <w:r>
              <w:rPr>
                <w:rFonts w:hint="eastAsia" w:ascii="宋体" w:hAnsi="宋体" w:cs="宋体"/>
                <w:b/>
                <w:bCs/>
                <w:color w:val="auto"/>
                <w:sz w:val="24"/>
                <w:szCs w:val="24"/>
                <w:lang w:val="en-US" w:eastAsia="zh-CN"/>
              </w:rPr>
              <w:t>参数</w:t>
            </w:r>
            <w:r>
              <w:rPr>
                <w:rFonts w:hint="eastAsia" w:ascii="宋体" w:hAnsi="宋体" w:eastAsia="宋体" w:cs="宋体"/>
                <w:b/>
                <w:bCs/>
                <w:color w:val="auto"/>
                <w:sz w:val="24"/>
                <w:szCs w:val="24"/>
                <w:lang w:val="en-US" w:eastAsia="zh-CN"/>
              </w:rPr>
              <w:t>软件功能界面截图；</w:t>
            </w:r>
          </w:p>
          <w:p>
            <w:pPr>
              <w:numPr>
                <w:ilvl w:val="0"/>
                <w:numId w:val="11"/>
              </w:numPr>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基本功能：支持高清视频、图片、</w:t>
            </w:r>
            <w:r>
              <w:rPr>
                <w:rFonts w:hint="eastAsia" w:ascii="宋体" w:hAnsi="宋体" w:eastAsia="宋体" w:cs="宋体"/>
                <w:color w:val="000000" w:themeColor="text1"/>
                <w:sz w:val="24"/>
                <w:szCs w:val="24"/>
                <w:lang w:val="en-US" w:eastAsia="zh-CN"/>
                <w14:textFill>
                  <w14:solidFill>
                    <w14:schemeClr w14:val="tx1"/>
                  </w14:solidFill>
                </w14:textFill>
              </w:rPr>
              <w:t>网页</w:t>
            </w:r>
            <w:r>
              <w:rPr>
                <w:rFonts w:hint="eastAsia" w:ascii="宋体" w:hAnsi="宋体" w:eastAsia="宋体" w:cs="宋体"/>
                <w:color w:val="000000" w:themeColor="text1"/>
                <w:sz w:val="24"/>
                <w:szCs w:val="24"/>
                <w14:textFill>
                  <w14:solidFill>
                    <w14:schemeClr w14:val="tx1"/>
                  </w14:solidFill>
                </w14:textFill>
              </w:rPr>
              <w:t>等多种媒体素材的发布和管理；</w:t>
            </w:r>
          </w:p>
          <w:p>
            <w:pPr>
              <w:numPr>
                <w:ilvl w:val="0"/>
                <w:numId w:val="11"/>
              </w:numPr>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终端控制功能：终端支持遥控器操作，可进行开关机、音量调节、呼出后台菜单等；</w:t>
            </w:r>
          </w:p>
          <w:p>
            <w:pPr>
              <w:numPr>
                <w:ilvl w:val="0"/>
                <w:numId w:val="11"/>
              </w:numPr>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远程控制功能：支持通过网络进行远程设置多</w:t>
            </w:r>
            <w:r>
              <w:rPr>
                <w:rFonts w:hint="eastAsia" w:ascii="宋体" w:hAnsi="宋体" w:eastAsia="宋体" w:cs="宋体"/>
                <w:color w:val="000000" w:themeColor="text1"/>
                <w:sz w:val="24"/>
                <w:szCs w:val="24"/>
                <w:lang w:val="en-US" w:eastAsia="zh-CN"/>
                <w14:textFill>
                  <w14:solidFill>
                    <w14:schemeClr w14:val="tx1"/>
                  </w14:solidFill>
                </w14:textFill>
              </w:rPr>
              <w:t>个</w:t>
            </w:r>
            <w:r>
              <w:rPr>
                <w:rFonts w:hint="eastAsia" w:ascii="宋体" w:hAnsi="宋体" w:eastAsia="宋体" w:cs="宋体"/>
                <w:color w:val="000000" w:themeColor="text1"/>
                <w:sz w:val="24"/>
                <w:szCs w:val="24"/>
                <w14:textFill>
                  <w14:solidFill>
                    <w14:schemeClr w14:val="tx1"/>
                  </w14:solidFill>
                </w14:textFill>
              </w:rPr>
              <w:t>开、关机规则，实现无人值守的电源管理；</w:t>
            </w:r>
          </w:p>
          <w:p>
            <w:pPr>
              <w:numPr>
                <w:ilvl w:val="0"/>
                <w:numId w:val="11"/>
              </w:numPr>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远程发布功能：支持远程发布、编辑和管理，高效便捷，节约成本；</w:t>
            </w:r>
          </w:p>
          <w:p>
            <w:pPr>
              <w:numPr>
                <w:ilvl w:val="0"/>
                <w:numId w:val="11"/>
              </w:numPr>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兼容性：兼容多种类型设备：电子画屏、电视机、显示器、LED、电视墙等；</w:t>
            </w:r>
          </w:p>
          <w:p>
            <w:pPr>
              <w:numPr>
                <w:ilvl w:val="0"/>
                <w:numId w:val="11"/>
              </w:numPr>
              <w:ind w:left="425" w:leftChars="0" w:hanging="425"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易用性：基于Android系统开发，操作简便，非专业人士也能轻松掌握使用，减少复杂人员培训</w:t>
            </w:r>
            <w:r>
              <w:rPr>
                <w:rFonts w:hint="eastAsia" w:ascii="宋体" w:hAnsi="宋体" w:eastAsia="宋体" w:cs="宋体"/>
                <w:color w:val="000000" w:themeColor="text1"/>
                <w:sz w:val="24"/>
                <w:szCs w:val="24"/>
                <w:lang w:eastAsia="zh-CN"/>
                <w14:textFill>
                  <w14:solidFill>
                    <w14:schemeClr w14:val="tx1"/>
                  </w14:solidFill>
                </w14:textFill>
              </w:rPr>
              <w:t>；</w:t>
            </w:r>
          </w:p>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14:textFill>
                  <w14:solidFill>
                    <w14:schemeClr w14:val="tx1"/>
                  </w14:solidFill>
                </w14:textFill>
              </w:rPr>
            </w:pPr>
            <w:r>
              <w:rPr>
                <w:rFonts w:hint="eastAsia" w:cs="宋体"/>
                <w:b/>
                <w:bCs/>
                <w:color w:val="auto"/>
                <w:sz w:val="24"/>
                <w:szCs w:val="24"/>
                <w:lang w:val="en-US" w:eastAsia="zh-CN"/>
              </w:rPr>
              <w:t>13.</w:t>
            </w:r>
            <w:r>
              <w:rPr>
                <w:rFonts w:hint="eastAsia" w:ascii="宋体" w:hAnsi="宋体" w:eastAsia="宋体" w:cs="宋体"/>
                <w:b/>
                <w:bCs/>
                <w:color w:val="auto"/>
                <w:sz w:val="24"/>
                <w:szCs w:val="24"/>
                <w:lang w:val="en-US" w:eastAsia="zh-CN"/>
              </w:rPr>
              <w:t>知识产权要求：提供相关功能的软件著作权证书复印件加盖公章；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5</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lang w:eastAsia="zh-CN"/>
                <w14:textFill>
                  <w14:solidFill>
                    <w14:schemeClr w14:val="tx1"/>
                  </w14:solidFill>
                </w14:textFill>
              </w:rPr>
            </w:pPr>
            <w:r>
              <w:rPr>
                <w:rFonts w:hint="eastAsia" w:ascii="宋体" w:hAnsi="宋体" w:eastAsia="宋体" w:cs="宋体"/>
                <w:color w:val="000000" w:themeColor="text1"/>
                <w:spacing w:val="0"/>
                <w:w w:val="100"/>
                <w:position w:val="0"/>
                <w:sz w:val="24"/>
                <w:szCs w:val="24"/>
                <w:vertAlign w:val="baseline"/>
                <w14:textFill>
                  <w14:solidFill>
                    <w14:schemeClr w14:val="tx1"/>
                  </w14:solidFill>
                </w14:textFill>
              </w:rPr>
              <w:t>党建工具本</w:t>
            </w:r>
            <w:r>
              <w:rPr>
                <w:rFonts w:hint="eastAsia" w:cs="宋体"/>
                <w:color w:val="000000" w:themeColor="text1"/>
                <w:spacing w:val="0"/>
                <w:w w:val="100"/>
                <w:position w:val="0"/>
                <w:sz w:val="24"/>
                <w:szCs w:val="24"/>
                <w:vertAlign w:val="baseline"/>
                <w:lang w:eastAsia="zh-CN"/>
                <w14:textFill>
                  <w14:solidFill>
                    <w14:schemeClr w14:val="tx1"/>
                  </w14:solidFill>
                </w14:textFill>
              </w:rPr>
              <w:t>（专业版）</w:t>
            </w:r>
          </w:p>
        </w:tc>
        <w:tc>
          <w:tcPr>
            <w:tcW w:w="5888" w:type="dxa"/>
            <w:vAlign w:val="center"/>
          </w:tcPr>
          <w:p>
            <w:pPr>
              <w:ind w:firstLine="0" w:firstLineChars="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一、</w:t>
            </w:r>
            <w:r>
              <w:rPr>
                <w:rFonts w:hint="eastAsia" w:ascii="宋体" w:hAnsi="宋体" w:eastAsia="宋体" w:cs="宋体"/>
                <w:b/>
                <w:bCs/>
                <w:color w:val="000000" w:themeColor="text1"/>
                <w:sz w:val="24"/>
                <w:szCs w:val="24"/>
                <w:lang w:eastAsia="zh-CN"/>
                <w14:textFill>
                  <w14:solidFill>
                    <w14:schemeClr w14:val="tx1"/>
                  </w14:solidFill>
                </w14:textFill>
              </w:rPr>
              <w:t>硬件</w:t>
            </w:r>
            <w:r>
              <w:rPr>
                <w:rFonts w:hint="eastAsia" w:ascii="宋体" w:hAnsi="宋体" w:eastAsia="宋体" w:cs="宋体"/>
                <w:b/>
                <w:bCs/>
                <w:color w:val="000000" w:themeColor="text1"/>
                <w:sz w:val="24"/>
                <w:szCs w:val="24"/>
                <w14:textFill>
                  <w14:solidFill>
                    <w14:schemeClr w14:val="tx1"/>
                  </w14:solidFill>
                </w14:textFill>
              </w:rPr>
              <w:t>参数</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1.屏幕尺寸不小于10.1英寸；</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2.屏幕分辨率不小于1920 × 1200dpi；</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3.通信：仅支持WIFI；</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4.操作系统支持EMUI 10.1（安卓10）；</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5.存储机身不小于64GB，内存不少于4GB；</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6.电池容量不小于5100mAh（典型值），待机时间不少于480小时；</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7.音频接口支持USB Type-C；</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8.连接方式支持WiFi功能；蓝牙功能；</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9.CPU核数支持八核；</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10.麦克风不少于1个麦克风，扬声器不少于2个；</w:t>
            </w:r>
          </w:p>
          <w:p>
            <w:pPr>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11.尺寸(长×宽×厚)不小于240.2 mm ×159 mm ×7.55mm。</w:t>
            </w:r>
          </w:p>
          <w:p>
            <w:pPr>
              <w:ind w:firstLine="0" w:firstLineChars="0"/>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二、</w:t>
            </w:r>
            <w:r>
              <w:rPr>
                <w:rFonts w:hint="eastAsia" w:ascii="宋体" w:hAnsi="宋体" w:eastAsia="宋体" w:cs="宋体"/>
                <w:b/>
                <w:bCs/>
                <w:color w:val="000000" w:themeColor="text1"/>
                <w:sz w:val="24"/>
                <w:szCs w:val="24"/>
                <w:lang w:eastAsia="zh-CN"/>
                <w14:textFill>
                  <w14:solidFill>
                    <w14:schemeClr w14:val="tx1"/>
                  </w14:solidFill>
                </w14:textFill>
              </w:rPr>
              <w:t>软件</w:t>
            </w:r>
            <w:r>
              <w:rPr>
                <w:rFonts w:hint="eastAsia" w:ascii="宋体" w:hAnsi="宋体" w:eastAsia="宋体" w:cs="宋体"/>
                <w:b/>
                <w:bCs/>
                <w:color w:val="000000" w:themeColor="text1"/>
                <w:sz w:val="24"/>
                <w:szCs w:val="24"/>
                <w14:textFill>
                  <w14:solidFill>
                    <w14:schemeClr w14:val="tx1"/>
                  </w14:solidFill>
                </w14:textFill>
              </w:rPr>
              <w:t>功能</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习语金句：每天温习一句习近平总书记金句；</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工作</w:t>
            </w:r>
            <w:r>
              <w:rPr>
                <w:rFonts w:hint="eastAsia" w:ascii="宋体" w:hAnsi="宋体" w:eastAsia="宋体" w:cs="宋体"/>
                <w:color w:val="000000" w:themeColor="text1"/>
                <w:sz w:val="24"/>
                <w:szCs w:val="24"/>
                <w14:textFill>
                  <w14:solidFill>
                    <w14:schemeClr w14:val="tx1"/>
                  </w14:solidFill>
                </w14:textFill>
              </w:rPr>
              <w:t>汇报：</w:t>
            </w:r>
          </w:p>
          <w:p>
            <w:pPr>
              <w:keepNext w:val="0"/>
              <w:keepLines w:val="0"/>
              <w:pageBreakBefore w:val="0"/>
              <w:widowControl w:val="0"/>
              <w:numPr>
                <w:ilvl w:val="0"/>
                <w:numId w:val="13"/>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在SAAS平台，通过扫描工作汇报网站页面</w:t>
            </w:r>
            <w:r>
              <w:rPr>
                <w:rFonts w:hint="eastAsia" w:ascii="宋体" w:hAnsi="宋体" w:eastAsia="宋体" w:cs="宋体"/>
                <w:b w:val="0"/>
                <w:bCs w:val="0"/>
                <w:color w:val="auto"/>
                <w:sz w:val="24"/>
                <w:szCs w:val="24"/>
                <w:lang w:val="en-US" w:eastAsia="zh-CN"/>
              </w:rPr>
              <w:t>中的二维码建立关联，远程联动控制显示页面进行工作汇报；</w:t>
            </w:r>
          </w:p>
          <w:p>
            <w:pPr>
              <w:keepNext w:val="0"/>
              <w:keepLines w:val="0"/>
              <w:pageBreakBefore w:val="0"/>
              <w:widowControl w:val="0"/>
              <w:numPr>
                <w:ilvl w:val="0"/>
                <w:numId w:val="13"/>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工作汇报网站具备独立自主的服务能力，并提供网址和网站域名ICP备案查询截图证明；（ICP备案查询网站：https://beian.miit.gov.cn）</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党建素材：提供专业的党建宣传海报及每月一新的三会一课学习素材，减轻党务工作者的工作量；</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画屏联动</w:t>
            </w:r>
            <w:r>
              <w:rPr>
                <w:rFonts w:hint="eastAsia" w:ascii="宋体" w:hAnsi="宋体" w:eastAsia="宋体" w:cs="宋体"/>
                <w:b w:val="0"/>
                <w:bCs w:val="0"/>
                <w:color w:val="auto"/>
                <w:sz w:val="24"/>
                <w:szCs w:val="24"/>
              </w:rPr>
              <w:t>：一键切换红色品牌墙宣传海报，让宣传工作与时俱进（需要连接党建机）；</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AI合影：</w:t>
            </w:r>
          </w:p>
          <w:p>
            <w:pPr>
              <w:keepNext w:val="0"/>
              <w:keepLines w:val="0"/>
              <w:pageBreakBefore w:val="0"/>
              <w:widowControl w:val="0"/>
              <w:numPr>
                <w:ilvl w:val="0"/>
                <w:numId w:val="14"/>
              </w:numPr>
              <w:kinsoku/>
              <w:wordWrap/>
              <w:overflowPunct/>
              <w:topLinePunct w:val="0"/>
              <w:autoSpaceDE/>
              <w:autoSpaceDN/>
              <w:bidi w:val="0"/>
              <w:adjustRightInd/>
              <w:snapToGrid/>
              <w:spacing w:after="0"/>
              <w:ind w:left="0" w:leftChars="0" w:firstLine="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通过AI进行人像分割，结合图层叠加技术实现背景融合，并支持快速发布合影照片到画屏中；</w:t>
            </w:r>
          </w:p>
          <w:p>
            <w:pPr>
              <w:pStyle w:val="16"/>
              <w:keepNext w:val="0"/>
              <w:keepLines w:val="0"/>
              <w:pageBreakBefore w:val="0"/>
              <w:widowControl w:val="0"/>
              <w:numPr>
                <w:ilvl w:val="0"/>
                <w:numId w:val="14"/>
              </w:numPr>
              <w:kinsoku/>
              <w:wordWrap/>
              <w:overflowPunct/>
              <w:topLinePunct w:val="0"/>
              <w:autoSpaceDE/>
              <w:autoSpaceDN/>
              <w:bidi w:val="0"/>
              <w:adjustRightInd/>
              <w:snapToGrid/>
              <w:spacing w:after="0" w:afterLines="0"/>
              <w:ind w:left="0" w:firstLine="0"/>
              <w:textAlignment w:val="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lang w:val="en-US" w:eastAsia="zh-CN"/>
              </w:rPr>
              <w:t>供应商提供人脸识别相关的软件著作权证书复印件加盖公章</w:t>
            </w:r>
            <w:r>
              <w:rPr>
                <w:rFonts w:hint="eastAsia" w:ascii="宋体" w:hAnsi="宋体" w:eastAsia="宋体" w:cs="宋体"/>
                <w:b w:val="0"/>
                <w:bCs w:val="0"/>
                <w:color w:val="auto"/>
                <w:sz w:val="24"/>
                <w:szCs w:val="24"/>
                <w:lang w:val="en-US"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初心路线：推荐红色精品路线；</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初心商城：党建主题文创纪念品一站式采购；</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党建日历</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支持按照日期设置党务工作提醒</w:t>
            </w:r>
            <w:r>
              <w:rPr>
                <w:rFonts w:hint="eastAsia" w:ascii="宋体" w:hAnsi="宋体" w:eastAsia="宋体" w:cs="宋体"/>
                <w:b w:val="0"/>
                <w:bCs w:val="0"/>
                <w:color w:val="auto"/>
                <w:sz w:val="24"/>
                <w:szCs w:val="24"/>
              </w:rPr>
              <w:t>；</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发布助手：支持通过工具本快速发布素材，并生成套图；</w:t>
            </w:r>
          </w:p>
          <w:p>
            <w:pPr>
              <w:pStyle w:val="16"/>
              <w:keepNext w:val="0"/>
              <w:keepLines w:val="0"/>
              <w:pageBreakBefore w:val="0"/>
              <w:widowControl w:val="0"/>
              <w:numPr>
                <w:ilvl w:val="0"/>
                <w:numId w:val="12"/>
              </w:numPr>
              <w:kinsoku/>
              <w:wordWrap/>
              <w:overflowPunct/>
              <w:topLinePunct w:val="0"/>
              <w:autoSpaceDE/>
              <w:autoSpaceDN/>
              <w:bidi w:val="0"/>
              <w:adjustRightInd/>
              <w:snapToGrid/>
              <w:spacing w:after="0" w:afterLines="0"/>
              <w:ind w:left="0" w:leftChars="0"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参观动线：整合工作汇报、画屏联动、AI合影功能，生成访客参观动线；</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知识产权要求：提供相关功能的软件著作权证书复印件加盖公章</w:t>
            </w:r>
            <w:r>
              <w:rPr>
                <w:rFonts w:hint="eastAsia" w:ascii="宋体" w:hAnsi="宋体" w:eastAsia="宋体" w:cs="宋体"/>
                <w:b w:val="0"/>
                <w:bCs w:val="0"/>
                <w:color w:val="auto"/>
                <w:sz w:val="24"/>
                <w:szCs w:val="24"/>
                <w:lang w:val="en-US"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after="0"/>
              <w:ind w:left="0" w:leftChars="0" w:firstLine="0" w:firstLineChars="0"/>
              <w:jc w:val="left"/>
              <w:textAlignment w:val="auto"/>
              <w:rPr>
                <w:rFonts w:hint="eastAsia" w:ascii="宋体" w:hAnsi="宋体" w:eastAsia="宋体" w:cs="宋体"/>
                <w:color w:val="000000" w:themeColor="text1"/>
                <w:spacing w:val="0"/>
                <w:w w:val="100"/>
                <w:position w:val="0"/>
                <w:sz w:val="24"/>
                <w:szCs w:val="24"/>
                <w:vertAlign w:val="baseline"/>
                <w14:textFill>
                  <w14:solidFill>
                    <w14:schemeClr w14:val="tx1"/>
                  </w14:solidFill>
                </w14:textFill>
              </w:rPr>
            </w:pPr>
            <w:r>
              <w:rPr>
                <w:rFonts w:hint="eastAsia" w:ascii="宋体" w:hAnsi="宋体" w:cs="宋体"/>
                <w:b/>
                <w:bCs/>
                <w:color w:val="auto"/>
                <w:sz w:val="24"/>
                <w:szCs w:val="24"/>
                <w:lang w:val="en-US" w:eastAsia="zh-CN"/>
              </w:rPr>
              <w:t>须</w:t>
            </w:r>
            <w:r>
              <w:rPr>
                <w:rFonts w:hint="eastAsia" w:ascii="宋体" w:hAnsi="宋体" w:eastAsia="宋体" w:cs="宋体"/>
                <w:b/>
                <w:bCs/>
                <w:color w:val="auto"/>
                <w:sz w:val="24"/>
                <w:szCs w:val="24"/>
                <w:lang w:val="en-US" w:eastAsia="zh-CN"/>
              </w:rPr>
              <w:t>提供</w:t>
            </w:r>
            <w:r>
              <w:rPr>
                <w:rFonts w:hint="eastAsia" w:ascii="宋体" w:hAnsi="宋体" w:cs="宋体"/>
                <w:b/>
                <w:bCs/>
                <w:color w:val="auto"/>
                <w:sz w:val="24"/>
                <w:szCs w:val="24"/>
                <w:lang w:val="en-US" w:eastAsia="zh-CN"/>
              </w:rPr>
              <w:t>上述</w:t>
            </w:r>
            <w:r>
              <w:rPr>
                <w:rFonts w:hint="eastAsia" w:ascii="宋体" w:hAnsi="宋体" w:eastAsia="宋体" w:cs="宋体"/>
                <w:b/>
                <w:bCs/>
                <w:color w:val="auto"/>
                <w:sz w:val="24"/>
                <w:szCs w:val="24"/>
                <w:lang w:val="en-US" w:eastAsia="zh-CN"/>
              </w:rPr>
              <w:t>1.</w:t>
            </w:r>
            <w:r>
              <w:rPr>
                <w:rFonts w:hint="eastAsia" w:ascii="宋体" w:hAnsi="宋体" w:cs="宋体"/>
                <w:b/>
                <w:bCs/>
                <w:color w:val="auto"/>
                <w:sz w:val="24"/>
                <w:szCs w:val="24"/>
                <w:lang w:val="en-US" w:eastAsia="zh-CN"/>
              </w:rPr>
              <w:t>至</w:t>
            </w:r>
            <w:r>
              <w:rPr>
                <w:rFonts w:hint="eastAsia" w:ascii="宋体" w:hAnsi="宋体" w:eastAsia="宋体" w:cs="宋体"/>
                <w:b/>
                <w:bCs/>
                <w:color w:val="auto"/>
                <w:sz w:val="24"/>
                <w:szCs w:val="24"/>
                <w:lang w:val="en-US" w:eastAsia="zh-CN"/>
              </w:rPr>
              <w:t>10.</w:t>
            </w:r>
            <w:r>
              <w:rPr>
                <w:rFonts w:hint="eastAsia" w:ascii="宋体" w:hAnsi="宋体" w:cs="宋体"/>
                <w:b/>
                <w:bCs/>
                <w:color w:val="auto"/>
                <w:sz w:val="24"/>
                <w:szCs w:val="24"/>
                <w:lang w:val="en-US" w:eastAsia="zh-CN"/>
              </w:rPr>
              <w:t>参数</w:t>
            </w:r>
            <w:r>
              <w:rPr>
                <w:rFonts w:hint="eastAsia" w:ascii="宋体" w:hAnsi="宋体" w:eastAsia="宋体" w:cs="宋体"/>
                <w:b/>
                <w:bCs/>
                <w:color w:val="auto"/>
                <w:sz w:val="24"/>
                <w:szCs w:val="24"/>
                <w:lang w:val="en-US" w:eastAsia="zh-CN"/>
              </w:rPr>
              <w:t>软件功能界面截图</w:t>
            </w:r>
            <w:r>
              <w:rPr>
                <w:rFonts w:hint="eastAsia" w:ascii="宋体" w:hAnsi="宋体" w:eastAsia="宋体" w:cs="宋体"/>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t>5</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画屏主题</w:t>
            </w:r>
            <w:r>
              <w:rPr>
                <w:rFonts w:hint="eastAsia" w:cs="宋体"/>
                <w:color w:val="000000" w:themeColor="text1"/>
                <w:sz w:val="24"/>
                <w:szCs w:val="24"/>
                <w:lang w:val="en-US" w:eastAsia="zh-CN"/>
                <w14:textFill>
                  <w14:solidFill>
                    <w14:schemeClr w14:val="tx1"/>
                  </w14:solidFill>
                </w14:textFill>
              </w:rPr>
              <w:t>套装</w:t>
            </w:r>
          </w:p>
        </w:tc>
        <w:tc>
          <w:tcPr>
            <w:tcW w:w="5888" w:type="dxa"/>
            <w:vAlign w:val="center"/>
          </w:tcPr>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afterLines="0" w:line="24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1.拥有超过1000张1080P及以上的海报素材，素材类型需包括党建、精神文明、乡村振兴等；</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afterLines="0" w:line="24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bCs/>
                <w:color w:val="auto"/>
                <w:sz w:val="24"/>
                <w:szCs w:val="24"/>
                <w:lang w:val="en-US" w:eastAsia="zh-CN"/>
              </w:rPr>
              <w:t>具备独立自主的服务能力和服务网站，并提供网址和网站域名ICP备案查询截图证明；（ICP备案查询网站：</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"https://beian.miit.gov.cn）" </w:instrText>
            </w:r>
            <w:r>
              <w:rPr>
                <w:rFonts w:hint="eastAsia" w:ascii="宋体" w:hAnsi="宋体" w:eastAsia="宋体" w:cs="宋体"/>
                <w:b/>
                <w:bCs/>
                <w:color w:val="auto"/>
                <w:sz w:val="24"/>
                <w:szCs w:val="24"/>
                <w:lang w:val="en-US" w:eastAsia="zh-CN"/>
              </w:rPr>
              <w:fldChar w:fldCharType="separate"/>
            </w:r>
            <w:r>
              <w:rPr>
                <w:rStyle w:val="35"/>
                <w:rFonts w:hint="eastAsia" w:ascii="宋体" w:hAnsi="宋体" w:eastAsia="宋体" w:cs="宋体"/>
                <w:b/>
                <w:bCs/>
                <w:color w:val="auto"/>
                <w:sz w:val="24"/>
                <w:szCs w:val="24"/>
                <w:lang w:val="en-US" w:eastAsia="zh-CN"/>
              </w:rPr>
              <w:t>https://beian.miit.gov.cn）</w:t>
            </w:r>
            <w:r>
              <w:rPr>
                <w:rFonts w:hint="eastAsia" w:ascii="宋体" w:hAnsi="宋体" w:eastAsia="宋体" w:cs="宋体"/>
                <w:b/>
                <w:bCs/>
                <w:color w:val="auto"/>
                <w:sz w:val="24"/>
                <w:szCs w:val="24"/>
                <w:lang w:val="en-US" w:eastAsia="zh-CN"/>
              </w:rPr>
              <w:fldChar w:fldCharType="end"/>
            </w:r>
            <w:r>
              <w:rPr>
                <w:rFonts w:hint="eastAsia" w:ascii="宋体" w:hAnsi="宋体" w:cs="宋体"/>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6</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工具本-</w:t>
            </w:r>
            <w:r>
              <w:rPr>
                <w:rFonts w:hint="eastAsia" w:ascii="宋体" w:hAnsi="宋体" w:eastAsia="宋体" w:cs="宋体"/>
                <w:color w:val="000000" w:themeColor="text1"/>
                <w:sz w:val="24"/>
                <w:szCs w:val="24"/>
                <w:lang w:val="en-US" w:eastAsia="zh-CN"/>
                <w14:textFill>
                  <w14:solidFill>
                    <w14:schemeClr w14:val="tx1"/>
                  </w14:solidFill>
                </w14:textFill>
              </w:rPr>
              <w:t>党务资料</w:t>
            </w:r>
            <w:r>
              <w:rPr>
                <w:rFonts w:hint="eastAsia" w:ascii="宋体" w:hAnsi="宋体" w:cs="宋体"/>
                <w:color w:val="000000" w:themeColor="text1"/>
                <w:sz w:val="24"/>
                <w:szCs w:val="24"/>
                <w:lang w:val="en-US" w:eastAsia="zh-CN"/>
                <w14:textFill>
                  <w14:solidFill>
                    <w14:schemeClr w14:val="tx1"/>
                  </w14:solidFill>
                </w14:textFill>
              </w:rPr>
              <w:t>素材</w:t>
            </w:r>
            <w:r>
              <w:rPr>
                <w:rFonts w:hint="eastAsia" w:ascii="宋体" w:hAnsi="宋体" w:eastAsia="宋体" w:cs="宋体"/>
                <w:color w:val="000000" w:themeColor="text1"/>
                <w:sz w:val="24"/>
                <w:szCs w:val="24"/>
                <w:lang w:val="en-US" w:eastAsia="zh-CN"/>
                <w14:textFill>
                  <w14:solidFill>
                    <w14:schemeClr w14:val="tx1"/>
                  </w14:solidFill>
                </w14:textFill>
              </w:rPr>
              <w:t>库</w:t>
            </w:r>
          </w:p>
        </w:tc>
        <w:tc>
          <w:tcPr>
            <w:tcW w:w="5888" w:type="dxa"/>
            <w:vAlign w:val="center"/>
          </w:tcPr>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afterLines="0" w:line="24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1.拥有超过1年以上的三会一课学习素材资料（包含学习PPT、主持稿、配套视频材料等）；</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afterLines="0" w:line="240" w:lineRule="auto"/>
              <w:ind w:right="0" w:rightChars="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bCs/>
                <w:color w:val="auto"/>
                <w:sz w:val="24"/>
                <w:szCs w:val="24"/>
                <w:lang w:val="en-US" w:eastAsia="zh-CN"/>
              </w:rPr>
              <w:t>具备独立自主的服务能力和服务网站，并提供网址和网站域名ICP备案查询截图证明；（ICP备案查询网站：</w:t>
            </w:r>
            <w:r>
              <w:rPr>
                <w:rFonts w:hint="eastAsia" w:ascii="宋体" w:hAnsi="宋体" w:eastAsia="宋体" w:cs="宋体"/>
                <w:b/>
                <w:bCs/>
                <w:color w:val="auto"/>
                <w:sz w:val="24"/>
                <w:szCs w:val="24"/>
                <w:lang w:val="en-US" w:eastAsia="zh-CN"/>
              </w:rPr>
              <w:fldChar w:fldCharType="begin"/>
            </w:r>
            <w:r>
              <w:rPr>
                <w:rFonts w:hint="eastAsia" w:ascii="宋体" w:hAnsi="宋体" w:eastAsia="宋体" w:cs="宋体"/>
                <w:b/>
                <w:bCs/>
                <w:color w:val="auto"/>
                <w:sz w:val="24"/>
                <w:szCs w:val="24"/>
                <w:lang w:val="en-US" w:eastAsia="zh-CN"/>
              </w:rPr>
              <w:instrText xml:space="preserve"> HYPERLINK "https://beian.miit.gov.cn）" </w:instrText>
            </w:r>
            <w:r>
              <w:rPr>
                <w:rFonts w:hint="eastAsia" w:ascii="宋体" w:hAnsi="宋体" w:eastAsia="宋体" w:cs="宋体"/>
                <w:b/>
                <w:bCs/>
                <w:color w:val="auto"/>
                <w:sz w:val="24"/>
                <w:szCs w:val="24"/>
                <w:lang w:val="en-US" w:eastAsia="zh-CN"/>
              </w:rPr>
              <w:fldChar w:fldCharType="separate"/>
            </w:r>
            <w:r>
              <w:rPr>
                <w:rStyle w:val="35"/>
                <w:rFonts w:hint="eastAsia" w:ascii="宋体" w:hAnsi="宋体" w:eastAsia="宋体" w:cs="宋体"/>
                <w:b/>
                <w:bCs/>
                <w:color w:val="auto"/>
                <w:sz w:val="24"/>
                <w:szCs w:val="24"/>
                <w:lang w:val="en-US" w:eastAsia="zh-CN"/>
              </w:rPr>
              <w:t>https://beian.miit.gov.cn）</w:t>
            </w:r>
            <w:r>
              <w:rPr>
                <w:rFonts w:hint="eastAsia" w:ascii="宋体" w:hAnsi="宋体" w:eastAsia="宋体" w:cs="宋体"/>
                <w:b/>
                <w:bCs/>
                <w:color w:val="auto"/>
                <w:sz w:val="24"/>
                <w:szCs w:val="24"/>
                <w:lang w:val="en-US" w:eastAsia="zh-CN"/>
              </w:rPr>
              <w:fldChar w:fldCharType="end"/>
            </w:r>
            <w:r>
              <w:rPr>
                <w:rFonts w:hint="eastAsia" w:ascii="宋体" w:hAnsi="宋体" w:cs="宋体"/>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7</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安装调试</w:t>
            </w:r>
          </w:p>
        </w:tc>
        <w:tc>
          <w:tcPr>
            <w:tcW w:w="5888" w:type="dxa"/>
            <w:vAlign w:val="center"/>
          </w:tcPr>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afterLines="0" w:line="240" w:lineRule="auto"/>
              <w:ind w:right="0" w:rightChars="0"/>
              <w:jc w:val="left"/>
              <w:textAlignment w:val="auto"/>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硬件安装调试及培训系统操作使用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8</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设计费</w:t>
            </w:r>
          </w:p>
        </w:tc>
        <w:tc>
          <w:tcPr>
            <w:tcW w:w="5888" w:type="dxa"/>
            <w:vAlign w:val="center"/>
          </w:tcPr>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afterLines="0" w:line="240" w:lineRule="auto"/>
              <w:ind w:right="0" w:rightChars="0"/>
              <w:jc w:val="left"/>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9</w:t>
            </w:r>
          </w:p>
        </w:tc>
        <w:tc>
          <w:tcPr>
            <w:tcW w:w="1590"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党建</w:t>
            </w:r>
            <w:r>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t>文化提炼</w:t>
            </w:r>
          </w:p>
        </w:tc>
        <w:tc>
          <w:tcPr>
            <w:tcW w:w="5888" w:type="dxa"/>
            <w:vAlign w:val="center"/>
          </w:tcPr>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afterLines="0" w:line="240" w:lineRule="auto"/>
              <w:ind w:right="0" w:rightChars="0"/>
              <w:jc w:val="left"/>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党建文化提炼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10</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bottom"/>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墙面装修布线</w:t>
            </w:r>
          </w:p>
        </w:tc>
        <w:tc>
          <w:tcPr>
            <w:tcW w:w="5888"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bottom"/>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品牌电线、网线、插座、线管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pStyle w:val="109"/>
              <w:keepNext w:val="0"/>
              <w:keepLines w:val="0"/>
              <w:pageBreakBefore w:val="0"/>
              <w:widowControl w:val="0"/>
              <w:shd w:val="clear"/>
              <w:kinsoku/>
              <w:wordWrap/>
              <w:overflowPunct/>
              <w:topLinePunct w:val="0"/>
              <w:autoSpaceDE/>
              <w:autoSpaceDN/>
              <w:bidi w:val="0"/>
              <w:adjustRightInd/>
              <w:snapToGrid/>
              <w:spacing w:before="0" w:after="0" w:line="240" w:lineRule="auto"/>
              <w:ind w:right="0" w:firstLine="0"/>
              <w:jc w:val="left"/>
              <w:textAlignment w:val="auto"/>
              <w:rPr>
                <w:rFonts w:hint="default" w:cs="宋体"/>
                <w:color w:val="000000" w:themeColor="text1"/>
                <w:spacing w:val="0"/>
                <w:w w:val="100"/>
                <w:position w:val="0"/>
                <w:sz w:val="24"/>
                <w:szCs w:val="24"/>
                <w:vertAlign w:val="baseline"/>
                <w:lang w:val="en-US" w:eastAsia="zh-CN"/>
                <w14:textFill>
                  <w14:solidFill>
                    <w14:schemeClr w14:val="tx1"/>
                  </w14:solidFill>
                </w14:textFill>
              </w:rPr>
            </w:pPr>
            <w:r>
              <w:rPr>
                <w:rFonts w:hint="eastAsia" w:cs="宋体"/>
                <w:color w:val="000000" w:themeColor="text1"/>
                <w:spacing w:val="0"/>
                <w:w w:val="100"/>
                <w:position w:val="0"/>
                <w:sz w:val="24"/>
                <w:szCs w:val="24"/>
                <w:vertAlign w:val="baseline"/>
                <w:lang w:val="en-US" w:eastAsia="zh-CN"/>
                <w14:textFill>
                  <w14:solidFill>
                    <w14:schemeClr w14:val="tx1"/>
                  </w14:solidFill>
                </w14:textFill>
              </w:rPr>
              <w:t>11</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bottom"/>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w w:val="100"/>
                <w:position w:val="0"/>
                <w:sz w:val="24"/>
                <w:szCs w:val="24"/>
                <w:vertAlign w:val="baseline"/>
                <w:lang w:val="en-US" w:eastAsia="zh-CN"/>
                <w14:textFill>
                  <w14:solidFill>
                    <w14:schemeClr w14:val="tx1"/>
                  </w14:solidFill>
                </w14:textFill>
              </w:rPr>
              <w:t>广告制作安装</w:t>
            </w:r>
          </w:p>
        </w:tc>
        <w:tc>
          <w:tcPr>
            <w:tcW w:w="5888"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bottom"/>
              <w:rPr>
                <w:rFonts w:hint="eastAsia" w:ascii="宋体" w:hAnsi="宋体" w:eastAsia="宋体" w:cs="宋体"/>
                <w:b w:val="0"/>
                <w:bCs w:val="0"/>
                <w:color w:val="auto"/>
                <w:kern w:val="2"/>
                <w:sz w:val="24"/>
                <w:szCs w:val="24"/>
                <w:lang w:val="en-US" w:eastAsia="zh-CN" w:bidi="ar-SA"/>
              </w:rPr>
            </w:pPr>
            <w:r>
              <w:rPr>
                <w:rFonts w:hint="default" w:ascii="宋体" w:hAnsi="宋体" w:eastAsia="宋体" w:cs="宋体"/>
                <w:b w:val="0"/>
                <w:bCs w:val="0"/>
                <w:color w:val="auto"/>
                <w:sz w:val="24"/>
                <w:szCs w:val="24"/>
                <w:lang w:val="en-US" w:eastAsia="zh-CN"/>
              </w:rPr>
              <w:t>含木作、柜体、饰面广告等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auto"/>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lang w:val="en-US" w:eastAsia="zh-CN"/>
        </w:rPr>
      </w:pPr>
      <w:r>
        <w:rPr>
          <w:rFonts w:hint="eastAsia"/>
          <w:color w:val="auto"/>
          <w:sz w:val="24"/>
          <w:lang w:eastAsia="zh-CN"/>
        </w:rPr>
        <w:t>（</w:t>
      </w:r>
      <w:r>
        <w:rPr>
          <w:rFonts w:hint="eastAsia"/>
          <w:color w:val="auto"/>
          <w:sz w:val="24"/>
          <w:lang w:val="en-US" w:eastAsia="zh-CN"/>
        </w:rPr>
        <w:t>二）</w:t>
      </w:r>
      <w:r>
        <w:rPr>
          <w:rFonts w:hint="eastAsia" w:asciiTheme="majorEastAsia" w:hAnsiTheme="majorEastAsia" w:eastAsiaTheme="majorEastAsia" w:cstheme="majorEastAsia"/>
          <w:color w:val="auto"/>
          <w:sz w:val="24"/>
          <w:szCs w:val="24"/>
          <w:lang w:val="en-US" w:eastAsia="zh-CN"/>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1.项目报价含相关施工、安装、调试及所有设备配套辅材费、施工材料费用，不再另外支付项目金额外的其他费。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2.交货期：合同签订生效之日起15个日历日交货；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color w:val="auto"/>
          <w:sz w:val="24"/>
          <w:szCs w:val="24"/>
          <w:lang w:val="en-US" w:eastAsia="zh-CN"/>
        </w:rPr>
        <w:t>质保期：贰年；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color w:val="auto"/>
          <w:sz w:val="24"/>
          <w:szCs w:val="24"/>
          <w:lang w:val="en-US" w:eastAsia="zh-CN"/>
        </w:rPr>
        <w:t>4.</w:t>
      </w:r>
      <w:r>
        <w:rPr>
          <w:rFonts w:hint="eastAsia" w:ascii="宋体" w:hAnsi="宋体"/>
          <w:sz w:val="24"/>
          <w:lang w:val="en-US" w:eastAsia="zh-CN"/>
        </w:rPr>
        <w:t>本项目不允许负偏离，</w:t>
      </w:r>
      <w:r>
        <w:rPr>
          <w:rFonts w:hint="eastAsia" w:ascii="宋体" w:hAnsi="宋体"/>
          <w:sz w:val="24"/>
          <w:lang w:eastAsia="zh-CN"/>
        </w:rPr>
        <w:t>供应商</w:t>
      </w:r>
      <w:r>
        <w:rPr>
          <w:rFonts w:hint="eastAsia" w:ascii="宋体" w:hAnsi="宋体"/>
          <w:sz w:val="24"/>
        </w:rPr>
        <w:t>如完全</w:t>
      </w:r>
      <w:r>
        <w:rPr>
          <w:rFonts w:hint="eastAsia" w:hAnsi="宋体"/>
          <w:sz w:val="24"/>
        </w:rPr>
        <w:t>实质性</w:t>
      </w:r>
      <w:r>
        <w:rPr>
          <w:rFonts w:hint="eastAsia" w:ascii="宋体" w:hAnsi="宋体"/>
          <w:sz w:val="24"/>
        </w:rPr>
        <w:t>满足</w:t>
      </w:r>
      <w:r>
        <w:rPr>
          <w:rFonts w:hint="eastAsia" w:hAnsi="宋体"/>
          <w:sz w:val="24"/>
        </w:rPr>
        <w:t>《</w:t>
      </w:r>
      <w:r>
        <w:rPr>
          <w:rFonts w:hint="eastAsia" w:ascii="宋体" w:hAnsi="宋体"/>
          <w:sz w:val="24"/>
        </w:rPr>
        <w:t>第三章</w:t>
      </w:r>
      <w:r>
        <w:rPr>
          <w:rFonts w:ascii="宋体" w:hAnsi="宋体"/>
          <w:sz w:val="24"/>
        </w:rPr>
        <w:t xml:space="preserve"> </w:t>
      </w:r>
      <w:r>
        <w:rPr>
          <w:rFonts w:hint="eastAsia" w:ascii="宋体" w:hAnsi="宋体"/>
          <w:sz w:val="24"/>
        </w:rPr>
        <w:t>询价内容及要求</w:t>
      </w:r>
      <w:r>
        <w:rPr>
          <w:rFonts w:hint="eastAsia" w:hAnsi="宋体"/>
          <w:sz w:val="24"/>
        </w:rPr>
        <w:t>》</w:t>
      </w:r>
      <w:r>
        <w:rPr>
          <w:rFonts w:hint="eastAsia" w:ascii="宋体" w:hAnsi="宋体"/>
          <w:sz w:val="24"/>
        </w:rPr>
        <w:t>的</w:t>
      </w:r>
      <w:r>
        <w:rPr>
          <w:rFonts w:hint="eastAsia" w:hAnsi="宋体"/>
          <w:sz w:val="24"/>
        </w:rPr>
        <w:t>“</w:t>
      </w:r>
      <w:r>
        <w:rPr>
          <w:rFonts w:hint="eastAsia" w:ascii="宋体" w:hAnsi="宋体"/>
          <w:sz w:val="24"/>
          <w:szCs w:val="20"/>
        </w:rPr>
        <w:t>二、</w:t>
      </w:r>
      <w:r>
        <w:rPr>
          <w:rFonts w:hint="eastAsia" w:ascii="宋体" w:hAnsi="宋体"/>
          <w:sz w:val="24"/>
        </w:rPr>
        <w:t>技术参数及要求</w:t>
      </w:r>
      <w:r>
        <w:rPr>
          <w:rFonts w:hint="eastAsia" w:hAnsi="宋体"/>
          <w:sz w:val="24"/>
        </w:rPr>
        <w:t>”</w:t>
      </w:r>
      <w:r>
        <w:rPr>
          <w:rFonts w:hint="eastAsia" w:ascii="宋体" w:hAnsi="宋体"/>
          <w:sz w:val="24"/>
        </w:rPr>
        <w:t>所有要求，</w:t>
      </w:r>
      <w:r>
        <w:rPr>
          <w:rFonts w:hint="eastAsia" w:hAnsi="宋体"/>
          <w:bCs/>
          <w:sz w:val="24"/>
        </w:rPr>
        <w:t>可统一提供承诺函</w:t>
      </w:r>
      <w:r>
        <w:rPr>
          <w:rFonts w:hint="eastAsia"/>
          <w:b/>
          <w:bCs/>
          <w:sz w:val="24"/>
        </w:rPr>
        <w:t>（技术参数及要求如有</w:t>
      </w:r>
      <w:r>
        <w:rPr>
          <w:rFonts w:hint="eastAsia" w:ascii="宋体" w:hAnsi="宋体"/>
          <w:b/>
          <w:bCs/>
          <w:sz w:val="24"/>
        </w:rPr>
        <w:t>要求提供相关证书及佐证材料</w:t>
      </w:r>
      <w:r>
        <w:rPr>
          <w:rFonts w:hint="eastAsia" w:ascii="宋体" w:hAnsi="宋体"/>
          <w:b/>
          <w:bCs/>
        </w:rPr>
        <w:t>，</w:t>
      </w:r>
      <w:r>
        <w:rPr>
          <w:rFonts w:hint="eastAsia" w:ascii="宋体" w:hAnsi="宋体"/>
          <w:b/>
          <w:bCs/>
          <w:sz w:val="24"/>
        </w:rPr>
        <w:t>投标时均需</w:t>
      </w:r>
      <w:r>
        <w:rPr>
          <w:rFonts w:hint="eastAsia" w:hAnsi="宋体"/>
          <w:b/>
          <w:bCs/>
          <w:sz w:val="24"/>
        </w:rPr>
        <w:t>提供，否则视为重大偏离，报价无效。</w:t>
      </w:r>
      <w:r>
        <w:rPr>
          <w:rFonts w:hint="eastAsia"/>
          <w:b/>
          <w:bCs/>
          <w:sz w:val="24"/>
        </w:rPr>
        <w:t>）</w:t>
      </w:r>
      <w:r>
        <w:rPr>
          <w:rFonts w:hint="eastAsia" w:hAnsi="宋体"/>
          <w:bCs/>
          <w:sz w:val="24"/>
        </w:rPr>
        <w:t>，承诺函详见询价通知书《第五章</w:t>
      </w:r>
      <w:r>
        <w:rPr>
          <w:rFonts w:hAnsi="宋体"/>
          <w:bCs/>
          <w:sz w:val="24"/>
        </w:rPr>
        <w:t xml:space="preserve"> </w:t>
      </w:r>
      <w:r>
        <w:rPr>
          <w:rFonts w:hint="eastAsia" w:hAnsi="宋体"/>
          <w:bCs/>
          <w:sz w:val="24"/>
        </w:rPr>
        <w:t>响应文件格式》</w:t>
      </w:r>
    </w:p>
    <w:p>
      <w:pPr>
        <w:spacing w:line="360" w:lineRule="auto"/>
        <w:outlineLvl w:val="1"/>
        <w:rPr>
          <w:rFonts w:ascii="宋体"/>
          <w:b/>
          <w:sz w:val="24"/>
        </w:rPr>
      </w:pPr>
      <w:bookmarkStart w:id="60" w:name="_Toc13048"/>
      <w:bookmarkStart w:id="61" w:name="_Toc2129"/>
      <w:r>
        <w:rPr>
          <w:rFonts w:hint="eastAsia" w:ascii="宋体" w:hAnsi="宋体"/>
          <w:b/>
          <w:sz w:val="24"/>
        </w:rPr>
        <w:t>三、商务条件</w:t>
      </w:r>
      <w:bookmarkEnd w:id="60"/>
      <w:bookmarkEnd w:id="61"/>
    </w:p>
    <w:p>
      <w:pPr>
        <w:spacing w:line="360" w:lineRule="auto"/>
        <w:ind w:firstLine="480" w:firstLineChars="200"/>
        <w:rPr>
          <w:sz w:val="24"/>
        </w:rPr>
      </w:pPr>
      <w:r>
        <w:rPr>
          <w:sz w:val="24"/>
        </w:rPr>
        <w:t>1</w:t>
      </w:r>
      <w:r>
        <w:rPr>
          <w:rFonts w:hint="eastAsia"/>
          <w:sz w:val="24"/>
        </w:rPr>
        <w:t>、交付地点：龙岩市新罗区采购人指定地点</w:t>
      </w:r>
    </w:p>
    <w:p>
      <w:pPr>
        <w:spacing w:line="360" w:lineRule="auto"/>
        <w:ind w:firstLine="480" w:firstLineChars="200"/>
        <w:rPr>
          <w:sz w:val="24"/>
        </w:rPr>
      </w:pPr>
      <w:r>
        <w:rPr>
          <w:sz w:val="24"/>
        </w:rPr>
        <w:t>2</w:t>
      </w:r>
      <w:r>
        <w:rPr>
          <w:rFonts w:hint="eastAsia"/>
          <w:sz w:val="24"/>
        </w:rPr>
        <w:t>、交付时间：成交通知书发出后（</w:t>
      </w:r>
      <w:r>
        <w:rPr>
          <w:sz w:val="24"/>
        </w:rPr>
        <w:t>30</w:t>
      </w:r>
      <w:r>
        <w:rPr>
          <w:rFonts w:hint="eastAsia"/>
          <w:sz w:val="24"/>
        </w:rPr>
        <w:t>）天内签订合同，</w:t>
      </w:r>
      <w:r>
        <w:rPr>
          <w:rFonts w:hint="eastAsia"/>
          <w:sz w:val="24"/>
          <w:lang w:eastAsia="zh-CN"/>
        </w:rPr>
        <w:t>合同签订生效之日起15个日历日交货</w:t>
      </w:r>
      <w:r>
        <w:rPr>
          <w:rFonts w:hint="eastAsia"/>
          <w:sz w:val="24"/>
        </w:rPr>
        <w:t>。</w:t>
      </w:r>
    </w:p>
    <w:p>
      <w:pPr>
        <w:spacing w:line="360" w:lineRule="auto"/>
        <w:ind w:firstLine="480" w:firstLineChars="200"/>
        <w:rPr>
          <w:sz w:val="24"/>
        </w:rPr>
      </w:pPr>
      <w:r>
        <w:rPr>
          <w:sz w:val="24"/>
        </w:rPr>
        <w:t>3</w:t>
      </w:r>
      <w:r>
        <w:rPr>
          <w:rFonts w:hint="eastAsia"/>
          <w:sz w:val="24"/>
        </w:rPr>
        <w:t>、交付条件：验收合格</w:t>
      </w:r>
      <w:r>
        <w:rPr>
          <w:rFonts w:hint="eastAsia"/>
          <w:color w:val="auto"/>
          <w:sz w:val="24"/>
        </w:rPr>
        <w:t>后支付。</w:t>
      </w:r>
    </w:p>
    <w:p>
      <w:pPr>
        <w:spacing w:line="360" w:lineRule="auto"/>
        <w:ind w:firstLine="480" w:firstLineChars="200"/>
        <w:rPr>
          <w:color w:val="auto"/>
          <w:sz w:val="24"/>
        </w:rPr>
      </w:pPr>
      <w:r>
        <w:rPr>
          <w:color w:val="auto"/>
          <w:sz w:val="24"/>
        </w:rPr>
        <w:t>4</w:t>
      </w:r>
      <w:r>
        <w:rPr>
          <w:rFonts w:hint="eastAsia"/>
          <w:color w:val="auto"/>
          <w:sz w:val="24"/>
        </w:rPr>
        <w:t>、是否收取履约保证金：</w:t>
      </w:r>
      <w:r>
        <w:rPr>
          <w:rFonts w:hint="eastAsia"/>
          <w:color w:val="auto"/>
          <w:sz w:val="24"/>
          <w:lang w:val="en-US" w:eastAsia="zh-CN"/>
        </w:rPr>
        <w:t>否</w:t>
      </w:r>
      <w:r>
        <w:rPr>
          <w:rFonts w:hint="eastAsia"/>
          <w:color w:val="auto"/>
          <w:sz w:val="24"/>
        </w:rPr>
        <w:t>。</w:t>
      </w:r>
    </w:p>
    <w:p>
      <w:pPr>
        <w:spacing w:line="360" w:lineRule="auto"/>
        <w:ind w:firstLine="480" w:firstLineChars="200"/>
        <w:rPr>
          <w:color w:val="auto"/>
          <w:sz w:val="24"/>
        </w:rPr>
      </w:pPr>
      <w:r>
        <w:rPr>
          <w:color w:val="auto"/>
          <w:sz w:val="24"/>
        </w:rPr>
        <w:t>5</w:t>
      </w:r>
      <w:r>
        <w:rPr>
          <w:rFonts w:hint="eastAsia"/>
          <w:color w:val="auto"/>
          <w:sz w:val="24"/>
        </w:rPr>
        <w:t>、是否邀请供应商参与验收：否</w:t>
      </w:r>
    </w:p>
    <w:p>
      <w:pPr>
        <w:spacing w:line="360" w:lineRule="auto"/>
        <w:ind w:firstLine="480" w:firstLineChars="200"/>
        <w:rPr>
          <w:color w:val="auto"/>
          <w:sz w:val="24"/>
        </w:rPr>
      </w:pPr>
      <w:r>
        <w:rPr>
          <w:color w:val="auto"/>
          <w:sz w:val="24"/>
        </w:rPr>
        <w:t>6</w:t>
      </w:r>
      <w:r>
        <w:rPr>
          <w:rFonts w:hint="eastAsia"/>
          <w:color w:val="auto"/>
          <w:sz w:val="24"/>
        </w:rPr>
        <w:t>、验收方式数据表格</w:t>
      </w:r>
      <w:r>
        <w:rPr>
          <w:color w:val="auto"/>
          <w:sz w:val="24"/>
        </w:rPr>
        <w:t xml:space="preserve"> </w:t>
      </w:r>
    </w:p>
    <w:tbl>
      <w:tblPr>
        <w:tblStyle w:val="30"/>
        <w:tblW w:w="905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7"/>
        <w:gridCol w:w="7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jc w:val="center"/>
        </w:trPr>
        <w:tc>
          <w:tcPr>
            <w:tcW w:w="1667" w:type="dxa"/>
            <w:noWrap/>
            <w:vAlign w:val="center"/>
          </w:tcPr>
          <w:p>
            <w:pPr>
              <w:widowControl/>
              <w:spacing w:line="360" w:lineRule="exact"/>
              <w:jc w:val="center"/>
              <w:rPr>
                <w:rFonts w:ascii="宋体"/>
                <w:bCs/>
                <w:color w:val="auto"/>
                <w:sz w:val="24"/>
              </w:rPr>
            </w:pPr>
            <w:r>
              <w:rPr>
                <w:rFonts w:hint="eastAsia" w:ascii="宋体" w:hAnsi="宋体" w:cs="宋体"/>
                <w:bCs/>
                <w:color w:val="auto"/>
                <w:kern w:val="0"/>
                <w:sz w:val="24"/>
              </w:rPr>
              <w:t>验收期次</w:t>
            </w:r>
          </w:p>
        </w:tc>
        <w:tc>
          <w:tcPr>
            <w:tcW w:w="7387" w:type="dxa"/>
            <w:noWrap/>
            <w:vAlign w:val="center"/>
          </w:tcPr>
          <w:p>
            <w:pPr>
              <w:widowControl/>
              <w:spacing w:line="360" w:lineRule="exact"/>
              <w:jc w:val="center"/>
              <w:rPr>
                <w:rFonts w:ascii="宋体"/>
                <w:bCs/>
                <w:color w:val="auto"/>
                <w:sz w:val="24"/>
              </w:rPr>
            </w:pPr>
            <w:r>
              <w:rPr>
                <w:rFonts w:hint="eastAsia" w:ascii="宋体" w:hAnsi="宋体" w:cs="宋体"/>
                <w:bCs/>
                <w:color w:val="auto"/>
                <w:kern w:val="0"/>
                <w:sz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667" w:type="dxa"/>
            <w:noWrap/>
            <w:vAlign w:val="center"/>
          </w:tcPr>
          <w:p>
            <w:pPr>
              <w:widowControl/>
              <w:spacing w:line="360" w:lineRule="exact"/>
              <w:jc w:val="center"/>
              <w:rPr>
                <w:rFonts w:ascii="宋体"/>
                <w:bCs/>
                <w:color w:val="auto"/>
                <w:sz w:val="24"/>
              </w:rPr>
            </w:pPr>
            <w:r>
              <w:rPr>
                <w:rFonts w:ascii="宋体" w:hAnsi="宋体" w:cs="宋体"/>
                <w:bCs/>
                <w:color w:val="auto"/>
                <w:kern w:val="0"/>
                <w:sz w:val="24"/>
              </w:rPr>
              <w:t>1</w:t>
            </w:r>
          </w:p>
        </w:tc>
        <w:tc>
          <w:tcPr>
            <w:tcW w:w="7387" w:type="dxa"/>
            <w:noWrap/>
            <w:vAlign w:val="center"/>
          </w:tcPr>
          <w:p>
            <w:pPr>
              <w:widowControl/>
              <w:spacing w:line="360" w:lineRule="exact"/>
              <w:jc w:val="left"/>
              <w:rPr>
                <w:rFonts w:ascii="宋体"/>
                <w:bCs/>
                <w:color w:val="auto"/>
                <w:sz w:val="24"/>
              </w:rPr>
            </w:pPr>
            <w:r>
              <w:rPr>
                <w:rFonts w:hint="eastAsia" w:ascii="宋体" w:hAnsi="宋体"/>
                <w:bCs/>
                <w:color w:val="auto"/>
                <w:sz w:val="24"/>
              </w:rPr>
              <w:t>根据本询价通知书、成交供应商的响应文件、承诺及有关国家、行业规定进行验收。</w:t>
            </w:r>
          </w:p>
        </w:tc>
      </w:tr>
    </w:tbl>
    <w:p>
      <w:pPr>
        <w:spacing w:line="360" w:lineRule="auto"/>
        <w:ind w:firstLine="480" w:firstLineChars="200"/>
        <w:rPr>
          <w:color w:val="auto"/>
          <w:sz w:val="24"/>
        </w:rPr>
      </w:pPr>
      <w:r>
        <w:rPr>
          <w:color w:val="auto"/>
          <w:sz w:val="24"/>
        </w:rPr>
        <w:t>7</w:t>
      </w:r>
      <w:r>
        <w:rPr>
          <w:rFonts w:hint="eastAsia"/>
          <w:color w:val="auto"/>
          <w:sz w:val="24"/>
        </w:rPr>
        <w:t>、支付方式</w:t>
      </w:r>
    </w:p>
    <w:p>
      <w:pPr>
        <w:spacing w:line="360" w:lineRule="auto"/>
        <w:ind w:firstLine="480" w:firstLineChars="200"/>
        <w:rPr>
          <w:rFonts w:hint="eastAsia" w:hAnsi="宋体"/>
          <w:color w:val="auto"/>
          <w:sz w:val="24"/>
        </w:rPr>
      </w:pPr>
      <w:r>
        <w:rPr>
          <w:rFonts w:hint="eastAsia" w:ascii="宋体" w:hAnsi="宋体"/>
          <w:color w:val="auto"/>
          <w:sz w:val="24"/>
          <w:lang w:val="en-US" w:eastAsia="zh-CN"/>
        </w:rPr>
        <w:t>（1）</w:t>
      </w:r>
      <w:r>
        <w:rPr>
          <w:rFonts w:hint="eastAsia" w:hAnsi="宋体"/>
          <w:color w:val="auto"/>
          <w:sz w:val="24"/>
        </w:rPr>
        <w:t>付款方式：</w:t>
      </w:r>
    </w:p>
    <w:p>
      <w:pPr>
        <w:spacing w:line="460" w:lineRule="exact"/>
        <w:ind w:firstLine="240" w:firstLineChars="10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①设备材料全部到货并开箱验收合格后5</w:t>
      </w:r>
      <w:r>
        <w:rPr>
          <w:rFonts w:hint="eastAsia" w:asciiTheme="majorEastAsia" w:hAnsiTheme="majorEastAsia" w:eastAsiaTheme="majorEastAsia" w:cstheme="majorEastAsia"/>
          <w:color w:val="auto"/>
          <w:sz w:val="24"/>
          <w:szCs w:val="24"/>
          <w:lang w:val="en-US" w:eastAsia="zh-CN"/>
        </w:rPr>
        <w:t>个工作</w:t>
      </w:r>
      <w:r>
        <w:rPr>
          <w:rFonts w:hint="eastAsia" w:asciiTheme="majorEastAsia" w:hAnsiTheme="majorEastAsia" w:eastAsiaTheme="majorEastAsia" w:cstheme="majorEastAsia"/>
          <w:color w:val="auto"/>
          <w:sz w:val="24"/>
          <w:szCs w:val="24"/>
        </w:rPr>
        <w:t>日内支付总设备款8</w:t>
      </w:r>
      <w:r>
        <w:rPr>
          <w:rFonts w:hint="eastAsia" w:asciiTheme="majorEastAsia" w:hAnsiTheme="majorEastAsia" w:eastAsiaTheme="majorEastAsia" w:cstheme="majorEastAsia"/>
          <w:color w:val="auto"/>
          <w:sz w:val="24"/>
          <w:szCs w:val="24"/>
          <w:lang w:val="en-US" w:eastAsia="zh-CN"/>
        </w:rPr>
        <w:t>5</w:t>
      </w:r>
      <w:r>
        <w:rPr>
          <w:rFonts w:hint="eastAsia" w:asciiTheme="majorEastAsia" w:hAnsiTheme="majorEastAsia" w:eastAsiaTheme="majorEastAsia" w:cstheme="majorEastAsia"/>
          <w:color w:val="auto"/>
          <w:sz w:val="24"/>
          <w:szCs w:val="24"/>
        </w:rPr>
        <w:t>%；</w:t>
      </w:r>
    </w:p>
    <w:p>
      <w:pPr>
        <w:pStyle w:val="18"/>
        <w:spacing w:line="460" w:lineRule="exact"/>
        <w:ind w:left="230" w:hanging="1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②设备材料进行安装</w:t>
      </w:r>
      <w:r>
        <w:rPr>
          <w:rFonts w:hint="eastAsia" w:asciiTheme="majorEastAsia" w:hAnsiTheme="majorEastAsia" w:eastAsiaTheme="majorEastAsia" w:cstheme="majorEastAsia"/>
          <w:color w:val="auto"/>
          <w:sz w:val="24"/>
          <w:szCs w:val="24"/>
          <w:lang w:val="en-US" w:eastAsia="zh-CN"/>
        </w:rPr>
        <w:t>调试</w:t>
      </w:r>
      <w:r>
        <w:rPr>
          <w:rFonts w:hint="eastAsia" w:asciiTheme="majorEastAsia" w:hAnsiTheme="majorEastAsia" w:eastAsiaTheme="majorEastAsia" w:cstheme="majorEastAsia"/>
          <w:color w:val="auto"/>
          <w:sz w:val="24"/>
          <w:szCs w:val="24"/>
        </w:rPr>
        <w:t>后，</w:t>
      </w:r>
      <w:r>
        <w:rPr>
          <w:rFonts w:hint="eastAsia" w:asciiTheme="majorEastAsia" w:hAnsiTheme="majorEastAsia" w:eastAsiaTheme="majorEastAsia" w:cstheme="majorEastAsia"/>
          <w:color w:val="auto"/>
          <w:sz w:val="24"/>
          <w:szCs w:val="24"/>
          <w:lang w:val="en-US" w:eastAsia="zh-CN"/>
        </w:rPr>
        <w:t>供应商</w:t>
      </w:r>
      <w:r>
        <w:rPr>
          <w:rFonts w:hint="eastAsia" w:asciiTheme="majorEastAsia" w:hAnsiTheme="majorEastAsia" w:eastAsiaTheme="majorEastAsia" w:cstheme="majorEastAsia"/>
          <w:color w:val="auto"/>
          <w:sz w:val="24"/>
          <w:szCs w:val="24"/>
        </w:rPr>
        <w:t>配合调试完毕并经</w:t>
      </w:r>
      <w:r>
        <w:rPr>
          <w:rFonts w:hint="eastAsia" w:asciiTheme="majorEastAsia" w:hAnsiTheme="majorEastAsia" w:eastAsiaTheme="majorEastAsia" w:cstheme="majorEastAsia"/>
          <w:color w:val="auto"/>
          <w:sz w:val="24"/>
          <w:szCs w:val="24"/>
          <w:lang w:val="en-US" w:eastAsia="zh-CN"/>
        </w:rPr>
        <w:t>采购方</w:t>
      </w:r>
      <w:r>
        <w:rPr>
          <w:rFonts w:hint="eastAsia" w:asciiTheme="majorEastAsia" w:hAnsiTheme="majorEastAsia" w:eastAsiaTheme="majorEastAsia" w:cstheme="majorEastAsia"/>
          <w:color w:val="auto"/>
          <w:sz w:val="24"/>
          <w:szCs w:val="24"/>
        </w:rPr>
        <w:t>验收合格后5</w:t>
      </w:r>
      <w:r>
        <w:rPr>
          <w:rFonts w:hint="eastAsia" w:asciiTheme="majorEastAsia" w:hAnsiTheme="majorEastAsia" w:eastAsiaTheme="majorEastAsia" w:cstheme="majorEastAsia"/>
          <w:color w:val="auto"/>
          <w:sz w:val="24"/>
          <w:szCs w:val="24"/>
          <w:lang w:val="en-US" w:eastAsia="zh-CN"/>
        </w:rPr>
        <w:t>个工作</w:t>
      </w:r>
      <w:r>
        <w:rPr>
          <w:rFonts w:hint="eastAsia" w:asciiTheme="majorEastAsia" w:hAnsiTheme="majorEastAsia" w:eastAsiaTheme="majorEastAsia" w:cstheme="majorEastAsia"/>
          <w:color w:val="auto"/>
          <w:sz w:val="24"/>
          <w:szCs w:val="24"/>
        </w:rPr>
        <w:t>日内支付至总设备款的97%；</w:t>
      </w:r>
    </w:p>
    <w:p>
      <w:pPr>
        <w:spacing w:line="460" w:lineRule="exact"/>
        <w:ind w:firstLine="240" w:firstLineChars="10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③设备余款3%作为质保金，质保期满后支付设备余款。</w:t>
      </w:r>
    </w:p>
    <w:p>
      <w:pPr>
        <w:pStyle w:val="17"/>
        <w:spacing w:line="360" w:lineRule="auto"/>
        <w:jc w:val="left"/>
        <w:outlineLvl w:val="1"/>
        <w:rPr>
          <w:rFonts w:hAnsi="宋体"/>
          <w:bCs/>
          <w:color w:val="auto"/>
          <w:sz w:val="24"/>
        </w:rPr>
      </w:pPr>
      <w:bookmarkStart w:id="62" w:name="_Toc22148"/>
      <w:bookmarkStart w:id="63" w:name="_Toc31598"/>
      <w:r>
        <w:rPr>
          <w:rFonts w:hint="eastAsia" w:hAnsi="宋体"/>
          <w:bCs/>
          <w:color w:val="auto"/>
          <w:sz w:val="24"/>
        </w:rPr>
        <w:t>8、货物包装方式</w:t>
      </w:r>
      <w:bookmarkEnd w:id="62"/>
      <w:bookmarkEnd w:id="63"/>
    </w:p>
    <w:p>
      <w:pPr>
        <w:pStyle w:val="17"/>
        <w:spacing w:line="360" w:lineRule="auto"/>
        <w:ind w:firstLine="240" w:firstLineChars="100"/>
        <w:jc w:val="left"/>
        <w:outlineLvl w:val="1"/>
        <w:rPr>
          <w:rFonts w:hAnsi="宋体"/>
          <w:bCs/>
          <w:color w:val="auto"/>
          <w:sz w:val="24"/>
        </w:rPr>
      </w:pPr>
      <w:bookmarkStart w:id="64" w:name="_Toc4551"/>
      <w:bookmarkStart w:id="65" w:name="_Toc1754"/>
      <w:r>
        <w:rPr>
          <w:rFonts w:hint="eastAsia" w:hAnsi="宋体"/>
          <w:bCs/>
          <w:color w:val="auto"/>
          <w:sz w:val="24"/>
        </w:rPr>
        <w:t>8.1包装：货物交货时应按国家有关标准要求进行包装。</w:t>
      </w:r>
      <w:bookmarkEnd w:id="64"/>
      <w:bookmarkEnd w:id="65"/>
    </w:p>
    <w:p>
      <w:pPr>
        <w:pStyle w:val="17"/>
        <w:spacing w:line="360" w:lineRule="auto"/>
        <w:ind w:firstLine="240" w:firstLineChars="100"/>
        <w:jc w:val="left"/>
        <w:outlineLvl w:val="1"/>
        <w:rPr>
          <w:rFonts w:hAnsi="宋体"/>
          <w:bCs/>
          <w:color w:val="auto"/>
          <w:sz w:val="24"/>
        </w:rPr>
      </w:pPr>
      <w:bookmarkStart w:id="66" w:name="_Toc1598"/>
      <w:bookmarkStart w:id="67" w:name="_Toc17280"/>
      <w:r>
        <w:rPr>
          <w:rFonts w:hint="eastAsia" w:hAnsi="宋体"/>
          <w:bCs/>
          <w:color w:val="auto"/>
          <w:sz w:val="24"/>
        </w:rPr>
        <w:t>8.2方式：包装必须与运输方式相适应，包装方式的确定及包装费用均由成交供应商负责；由于不适当的包装而造成货物在运输过程中有任何损坏由成交供应商负责。</w:t>
      </w:r>
      <w:bookmarkEnd w:id="66"/>
      <w:bookmarkEnd w:id="67"/>
    </w:p>
    <w:p>
      <w:pPr>
        <w:pStyle w:val="17"/>
        <w:spacing w:line="360" w:lineRule="auto"/>
        <w:ind w:firstLine="240" w:firstLineChars="100"/>
        <w:jc w:val="left"/>
        <w:outlineLvl w:val="1"/>
        <w:rPr>
          <w:rFonts w:hAnsi="宋体"/>
          <w:bCs/>
          <w:color w:val="auto"/>
          <w:sz w:val="24"/>
        </w:rPr>
      </w:pPr>
      <w:bookmarkStart w:id="68" w:name="_Toc11848"/>
      <w:bookmarkStart w:id="69" w:name="_Toc2365"/>
      <w:r>
        <w:rPr>
          <w:rFonts w:hint="eastAsia" w:hAnsi="宋体"/>
          <w:bCs/>
          <w:color w:val="auto"/>
          <w:sz w:val="24"/>
        </w:rPr>
        <w:t>注：包装应足以承受整个过程中的运输、转运、装卸、储存等，充分考虑到运输途中的各种情况(如暴露于恶劣气候等)和项目所在地的气候特点，以及露天存放的需要。</w:t>
      </w:r>
      <w:bookmarkEnd w:id="68"/>
      <w:bookmarkEnd w:id="69"/>
    </w:p>
    <w:p>
      <w:pPr>
        <w:pStyle w:val="17"/>
        <w:spacing w:line="360" w:lineRule="auto"/>
        <w:jc w:val="left"/>
        <w:outlineLvl w:val="1"/>
        <w:rPr>
          <w:rFonts w:hAnsi="宋体"/>
          <w:bCs/>
          <w:color w:val="auto"/>
          <w:sz w:val="24"/>
        </w:rPr>
      </w:pPr>
      <w:bookmarkStart w:id="70" w:name="_Toc32076"/>
      <w:bookmarkStart w:id="71" w:name="_Toc15274"/>
      <w:r>
        <w:rPr>
          <w:rFonts w:hint="eastAsia" w:hAnsi="宋体"/>
          <w:bCs/>
          <w:color w:val="auto"/>
          <w:sz w:val="24"/>
        </w:rPr>
        <w:t>9、</w:t>
      </w:r>
      <w:r>
        <w:rPr>
          <w:rFonts w:hint="eastAsia" w:hAnsi="宋体"/>
          <w:bCs/>
          <w:color w:val="auto"/>
          <w:sz w:val="24"/>
          <w:lang w:val="en-US" w:eastAsia="zh-CN"/>
        </w:rPr>
        <w:t>施工安装、</w:t>
      </w:r>
      <w:r>
        <w:rPr>
          <w:rFonts w:hint="eastAsia" w:hAnsi="宋体"/>
          <w:bCs/>
          <w:color w:val="auto"/>
          <w:sz w:val="24"/>
        </w:rPr>
        <w:t>调试及验收</w:t>
      </w:r>
      <w:bookmarkEnd w:id="70"/>
      <w:bookmarkEnd w:id="71"/>
    </w:p>
    <w:p>
      <w:pPr>
        <w:pStyle w:val="17"/>
        <w:spacing w:line="360" w:lineRule="auto"/>
        <w:ind w:firstLine="240" w:firstLineChars="100"/>
        <w:jc w:val="left"/>
        <w:outlineLvl w:val="1"/>
        <w:rPr>
          <w:rFonts w:hAnsi="宋体"/>
          <w:bCs/>
          <w:color w:val="auto"/>
          <w:sz w:val="24"/>
        </w:rPr>
      </w:pPr>
      <w:bookmarkStart w:id="72" w:name="_Toc29832"/>
      <w:bookmarkStart w:id="73" w:name="_Toc30049"/>
      <w:r>
        <w:rPr>
          <w:rFonts w:hint="eastAsia" w:hAnsi="宋体"/>
          <w:bCs/>
          <w:color w:val="auto"/>
          <w:sz w:val="24"/>
        </w:rPr>
        <w:t>9.1</w:t>
      </w:r>
      <w:r>
        <w:rPr>
          <w:rFonts w:hint="eastAsia" w:hAnsi="宋体"/>
          <w:bCs/>
          <w:color w:val="auto"/>
          <w:sz w:val="24"/>
          <w:lang w:val="en-US" w:eastAsia="zh-CN"/>
        </w:rPr>
        <w:t>施工</w:t>
      </w:r>
      <w:r>
        <w:rPr>
          <w:rFonts w:hint="eastAsia" w:hAnsi="宋体"/>
          <w:bCs/>
          <w:color w:val="auto"/>
          <w:sz w:val="24"/>
        </w:rPr>
        <w:t>安装</w:t>
      </w:r>
      <w:r>
        <w:rPr>
          <w:rFonts w:hint="eastAsia" w:hAnsi="宋体"/>
          <w:bCs/>
          <w:color w:val="auto"/>
          <w:sz w:val="24"/>
          <w:lang w:val="en-US" w:eastAsia="zh-CN"/>
        </w:rPr>
        <w:t>、</w:t>
      </w:r>
      <w:r>
        <w:rPr>
          <w:rFonts w:hint="eastAsia" w:hAnsi="宋体"/>
          <w:bCs/>
          <w:color w:val="auto"/>
          <w:sz w:val="24"/>
        </w:rPr>
        <w:t>调试</w:t>
      </w:r>
      <w:bookmarkEnd w:id="72"/>
    </w:p>
    <w:p>
      <w:pPr>
        <w:pStyle w:val="17"/>
        <w:spacing w:line="360" w:lineRule="auto"/>
        <w:ind w:firstLine="240" w:firstLineChars="100"/>
        <w:jc w:val="left"/>
        <w:outlineLvl w:val="1"/>
        <w:rPr>
          <w:rFonts w:hAnsi="宋体"/>
          <w:bCs/>
          <w:color w:val="auto"/>
          <w:sz w:val="24"/>
        </w:rPr>
      </w:pPr>
      <w:bookmarkStart w:id="74" w:name="_Toc29933"/>
      <w:r>
        <w:rPr>
          <w:rFonts w:hint="eastAsia" w:hAnsi="宋体"/>
          <w:bCs/>
          <w:color w:val="auto"/>
          <w:sz w:val="24"/>
        </w:rPr>
        <w:t>9.1.1合同签订后，成交供应商须将</w:t>
      </w:r>
      <w:r>
        <w:rPr>
          <w:rFonts w:hint="eastAsia" w:hAnsi="宋体"/>
          <w:bCs/>
          <w:color w:val="auto"/>
          <w:sz w:val="24"/>
          <w:lang w:val="en-US" w:eastAsia="zh-CN"/>
        </w:rPr>
        <w:t>施工</w:t>
      </w:r>
      <w:r>
        <w:rPr>
          <w:rFonts w:hint="eastAsia" w:hAnsi="宋体"/>
          <w:bCs/>
          <w:color w:val="auto"/>
          <w:sz w:val="24"/>
        </w:rPr>
        <w:t>安装所须要求和水、电、气要求通知采购人。</w:t>
      </w:r>
      <w:bookmarkEnd w:id="74"/>
    </w:p>
    <w:p>
      <w:pPr>
        <w:pStyle w:val="17"/>
        <w:spacing w:line="360" w:lineRule="auto"/>
        <w:ind w:firstLine="240" w:firstLineChars="100"/>
        <w:jc w:val="left"/>
        <w:outlineLvl w:val="1"/>
        <w:rPr>
          <w:rFonts w:hAnsi="宋体"/>
          <w:bCs/>
          <w:color w:val="auto"/>
          <w:sz w:val="24"/>
        </w:rPr>
      </w:pPr>
      <w:bookmarkStart w:id="75" w:name="_Toc18598"/>
      <w:r>
        <w:rPr>
          <w:rFonts w:hint="eastAsia" w:hAnsi="宋体"/>
          <w:bCs/>
          <w:color w:val="auto"/>
          <w:sz w:val="24"/>
        </w:rPr>
        <w:t>9.1.2由成交供应商负责将设备按签订合同的具体数量、具体地点运送到最终目的地，成交供应商应在接到采购人通知后在规定的时间内负责派技术人员到现场进行</w:t>
      </w:r>
      <w:r>
        <w:rPr>
          <w:rFonts w:hint="eastAsia" w:hAnsi="宋体"/>
          <w:bCs/>
          <w:color w:val="auto"/>
          <w:sz w:val="24"/>
          <w:lang w:val="en-US" w:eastAsia="zh-CN"/>
        </w:rPr>
        <w:t>施工</w:t>
      </w:r>
      <w:r>
        <w:rPr>
          <w:rFonts w:hint="eastAsia" w:hAnsi="宋体"/>
          <w:bCs/>
          <w:color w:val="auto"/>
          <w:sz w:val="24"/>
        </w:rPr>
        <w:t>安装、调试，并负责调试至验收合格交付采购人使用。</w:t>
      </w:r>
      <w:bookmarkEnd w:id="75"/>
    </w:p>
    <w:p>
      <w:pPr>
        <w:pStyle w:val="17"/>
        <w:spacing w:line="360" w:lineRule="auto"/>
        <w:ind w:firstLine="240" w:firstLineChars="100"/>
        <w:jc w:val="left"/>
        <w:outlineLvl w:val="1"/>
        <w:rPr>
          <w:rFonts w:hAnsi="宋体"/>
          <w:bCs/>
          <w:color w:val="auto"/>
          <w:sz w:val="24"/>
        </w:rPr>
      </w:pPr>
      <w:bookmarkStart w:id="76" w:name="_Toc31027"/>
      <w:r>
        <w:rPr>
          <w:rFonts w:hint="eastAsia" w:hAnsi="宋体"/>
          <w:bCs/>
          <w:color w:val="auto"/>
          <w:sz w:val="24"/>
        </w:rPr>
        <w:t>9.1.3成交供应商负责组织专业技术人员进行货物</w:t>
      </w:r>
      <w:r>
        <w:rPr>
          <w:rFonts w:hint="eastAsia" w:hAnsi="宋体"/>
          <w:bCs/>
          <w:color w:val="auto"/>
          <w:sz w:val="24"/>
          <w:lang w:val="en-US" w:eastAsia="zh-CN"/>
        </w:rPr>
        <w:t>施工</w:t>
      </w:r>
      <w:r>
        <w:rPr>
          <w:rFonts w:hint="eastAsia" w:hAnsi="宋体"/>
          <w:bCs/>
          <w:color w:val="auto"/>
          <w:sz w:val="24"/>
        </w:rPr>
        <w:t>安装调试，采购人应提供必须的基本条件和专人配合，保证各项</w:t>
      </w:r>
      <w:r>
        <w:rPr>
          <w:rFonts w:hint="eastAsia" w:hAnsi="宋体"/>
          <w:bCs/>
          <w:color w:val="auto"/>
          <w:sz w:val="24"/>
          <w:lang w:val="en-US" w:eastAsia="zh-CN"/>
        </w:rPr>
        <w:t>施工</w:t>
      </w:r>
      <w:r>
        <w:rPr>
          <w:rFonts w:hint="eastAsia" w:hAnsi="宋体"/>
          <w:bCs/>
          <w:color w:val="auto"/>
          <w:sz w:val="24"/>
        </w:rPr>
        <w:t>安装工作顺利进行。</w:t>
      </w:r>
      <w:bookmarkEnd w:id="76"/>
    </w:p>
    <w:p>
      <w:pPr>
        <w:pStyle w:val="17"/>
        <w:spacing w:line="360" w:lineRule="auto"/>
        <w:ind w:firstLine="240" w:firstLineChars="100"/>
        <w:jc w:val="left"/>
        <w:outlineLvl w:val="1"/>
        <w:rPr>
          <w:rFonts w:hAnsi="宋体"/>
          <w:bCs/>
          <w:color w:val="auto"/>
          <w:sz w:val="24"/>
        </w:rPr>
      </w:pPr>
      <w:bookmarkStart w:id="77" w:name="_Toc9489"/>
      <w:r>
        <w:rPr>
          <w:rFonts w:hint="eastAsia" w:hAnsi="宋体"/>
          <w:bCs/>
          <w:color w:val="auto"/>
          <w:sz w:val="24"/>
        </w:rPr>
        <w:t>9.1.4成交供应商应在合同签订时向采购人提供</w:t>
      </w:r>
      <w:r>
        <w:rPr>
          <w:rFonts w:hint="eastAsia" w:hAnsi="宋体"/>
          <w:bCs/>
          <w:color w:val="auto"/>
          <w:sz w:val="24"/>
          <w:lang w:val="en-US" w:eastAsia="zh-CN"/>
        </w:rPr>
        <w:t>施工</w:t>
      </w:r>
      <w:r>
        <w:rPr>
          <w:rFonts w:hint="eastAsia" w:hAnsi="宋体"/>
          <w:bCs/>
          <w:color w:val="auto"/>
          <w:sz w:val="24"/>
        </w:rPr>
        <w:t>安装、调试及试运行的进度计划表。</w:t>
      </w:r>
      <w:bookmarkEnd w:id="77"/>
    </w:p>
    <w:p>
      <w:pPr>
        <w:pStyle w:val="17"/>
        <w:spacing w:line="360" w:lineRule="auto"/>
        <w:ind w:firstLine="240" w:firstLineChars="100"/>
        <w:jc w:val="left"/>
        <w:outlineLvl w:val="1"/>
        <w:rPr>
          <w:rFonts w:hAnsi="宋体"/>
          <w:bCs/>
          <w:color w:val="auto"/>
          <w:sz w:val="24"/>
        </w:rPr>
      </w:pPr>
      <w:bookmarkStart w:id="78" w:name="_Toc26325"/>
      <w:r>
        <w:rPr>
          <w:rFonts w:hint="eastAsia" w:hAnsi="宋体"/>
          <w:bCs/>
          <w:color w:val="auto"/>
          <w:sz w:val="24"/>
        </w:rPr>
        <w:t>9.1.5设备到达最终用户现场后，成交供应商的工程师到采购人的现场</w:t>
      </w:r>
      <w:r>
        <w:rPr>
          <w:rFonts w:hint="eastAsia" w:hAnsi="宋体"/>
          <w:bCs/>
          <w:color w:val="auto"/>
          <w:sz w:val="24"/>
          <w:lang w:val="en-US" w:eastAsia="zh-CN"/>
        </w:rPr>
        <w:t>施工</w:t>
      </w:r>
      <w:r>
        <w:rPr>
          <w:rFonts w:hint="eastAsia" w:hAnsi="宋体"/>
          <w:bCs/>
          <w:color w:val="auto"/>
          <w:sz w:val="24"/>
        </w:rPr>
        <w:t>安装设备，同时应向采购人介绍设备功能。</w:t>
      </w:r>
      <w:bookmarkEnd w:id="78"/>
    </w:p>
    <w:p>
      <w:pPr>
        <w:pStyle w:val="17"/>
        <w:spacing w:line="360" w:lineRule="auto"/>
        <w:ind w:firstLine="240" w:firstLineChars="100"/>
        <w:jc w:val="left"/>
        <w:outlineLvl w:val="1"/>
        <w:rPr>
          <w:rFonts w:hint="eastAsia" w:hAnsi="宋体"/>
          <w:bCs/>
          <w:color w:val="auto"/>
          <w:sz w:val="24"/>
        </w:rPr>
      </w:pPr>
      <w:bookmarkStart w:id="79" w:name="_Toc6053"/>
      <w:r>
        <w:rPr>
          <w:rFonts w:hint="eastAsia" w:hAnsi="宋体"/>
          <w:bCs/>
          <w:color w:val="auto"/>
          <w:sz w:val="24"/>
        </w:rPr>
        <w:t>9.1.6设备进场后须在接到采购人安装通知后在采购人规定时间内</w:t>
      </w:r>
      <w:r>
        <w:rPr>
          <w:rFonts w:hint="eastAsia" w:hAnsi="宋体"/>
          <w:bCs/>
          <w:color w:val="auto"/>
          <w:sz w:val="24"/>
          <w:lang w:val="en-US" w:eastAsia="zh-CN"/>
        </w:rPr>
        <w:t>施工</w:t>
      </w:r>
      <w:r>
        <w:rPr>
          <w:rFonts w:hint="eastAsia" w:hAnsi="宋体"/>
          <w:bCs/>
          <w:color w:val="auto"/>
          <w:sz w:val="24"/>
        </w:rPr>
        <w:t>安装调试完毕</w:t>
      </w:r>
      <w:r>
        <w:rPr>
          <w:rFonts w:hint="eastAsia" w:hAnsi="宋体"/>
          <w:bCs/>
          <w:color w:val="auto"/>
          <w:sz w:val="24"/>
          <w:lang w:eastAsia="zh-CN"/>
        </w:rPr>
        <w:t>、</w:t>
      </w:r>
      <w:r>
        <w:rPr>
          <w:rFonts w:hint="eastAsia" w:hAnsi="宋体"/>
          <w:bCs/>
          <w:color w:val="auto"/>
          <w:sz w:val="24"/>
        </w:rPr>
        <w:t>交付使用</w:t>
      </w:r>
      <w:r>
        <w:rPr>
          <w:rFonts w:hint="eastAsia" w:hAnsi="宋体"/>
          <w:bCs/>
          <w:color w:val="auto"/>
          <w:sz w:val="24"/>
          <w:lang w:val="en-US" w:eastAsia="zh-CN"/>
        </w:rPr>
        <w:t>并符合采购人验收标准</w:t>
      </w:r>
      <w:r>
        <w:rPr>
          <w:rFonts w:hint="eastAsia" w:hAnsi="宋体"/>
          <w:bCs/>
          <w:color w:val="auto"/>
          <w:sz w:val="24"/>
        </w:rPr>
        <w:t>。</w:t>
      </w:r>
      <w:bookmarkEnd w:id="79"/>
    </w:p>
    <w:bookmarkEnd w:id="73"/>
    <w:p>
      <w:pPr>
        <w:pStyle w:val="17"/>
        <w:spacing w:line="360" w:lineRule="auto"/>
        <w:jc w:val="left"/>
        <w:outlineLvl w:val="1"/>
        <w:rPr>
          <w:rFonts w:hAnsi="宋体"/>
          <w:bCs/>
          <w:color w:val="auto"/>
          <w:sz w:val="24"/>
        </w:rPr>
      </w:pPr>
      <w:bookmarkStart w:id="80" w:name="_Toc4175"/>
      <w:bookmarkStart w:id="81" w:name="_Toc20565"/>
      <w:r>
        <w:rPr>
          <w:rFonts w:hint="eastAsia" w:hAnsi="宋体"/>
          <w:bCs/>
          <w:color w:val="auto"/>
          <w:sz w:val="24"/>
        </w:rPr>
        <w:t>9.</w:t>
      </w:r>
      <w:r>
        <w:rPr>
          <w:rFonts w:hint="eastAsia" w:hAnsi="宋体"/>
          <w:bCs/>
          <w:color w:val="auto"/>
          <w:sz w:val="24"/>
          <w:lang w:val="en-US" w:eastAsia="zh-CN"/>
        </w:rPr>
        <w:t>2</w:t>
      </w:r>
      <w:r>
        <w:rPr>
          <w:rFonts w:hint="eastAsia" w:hAnsi="宋体"/>
          <w:bCs/>
          <w:color w:val="auto"/>
          <w:sz w:val="24"/>
        </w:rPr>
        <w:t>验收</w:t>
      </w:r>
      <w:bookmarkEnd w:id="80"/>
      <w:bookmarkEnd w:id="81"/>
    </w:p>
    <w:p>
      <w:pPr>
        <w:pStyle w:val="17"/>
        <w:spacing w:line="360" w:lineRule="auto"/>
        <w:ind w:firstLine="240" w:firstLineChars="100"/>
        <w:jc w:val="left"/>
        <w:outlineLvl w:val="1"/>
        <w:rPr>
          <w:rFonts w:hAnsi="宋体"/>
          <w:bCs/>
          <w:color w:val="auto"/>
          <w:sz w:val="24"/>
        </w:rPr>
      </w:pPr>
      <w:bookmarkStart w:id="82" w:name="_Toc31920"/>
      <w:bookmarkStart w:id="83" w:name="_Toc18164"/>
      <w:r>
        <w:rPr>
          <w:rFonts w:hint="eastAsia" w:hAnsi="宋体"/>
          <w:bCs/>
          <w:color w:val="auto"/>
          <w:sz w:val="24"/>
        </w:rPr>
        <w:t>9.</w:t>
      </w:r>
      <w:r>
        <w:rPr>
          <w:rFonts w:hint="eastAsia" w:hAnsi="宋体"/>
          <w:bCs/>
          <w:color w:val="auto"/>
          <w:sz w:val="24"/>
          <w:lang w:val="en-US" w:eastAsia="zh-CN"/>
        </w:rPr>
        <w:t>2</w:t>
      </w:r>
      <w:r>
        <w:rPr>
          <w:rFonts w:hint="eastAsia" w:hAnsi="宋体"/>
          <w:bCs/>
          <w:color w:val="auto"/>
          <w:sz w:val="24"/>
        </w:rPr>
        <w:t>.1验收标准</w:t>
      </w:r>
      <w:bookmarkEnd w:id="82"/>
      <w:bookmarkEnd w:id="83"/>
    </w:p>
    <w:p>
      <w:pPr>
        <w:pStyle w:val="17"/>
        <w:spacing w:line="360" w:lineRule="auto"/>
        <w:ind w:firstLine="480" w:firstLineChars="200"/>
        <w:jc w:val="left"/>
        <w:outlineLvl w:val="1"/>
        <w:rPr>
          <w:rFonts w:hAnsi="宋体"/>
          <w:bCs/>
          <w:color w:val="auto"/>
          <w:sz w:val="24"/>
        </w:rPr>
      </w:pPr>
      <w:bookmarkStart w:id="84" w:name="_Toc7760"/>
      <w:bookmarkStart w:id="85" w:name="_Toc3417"/>
      <w:r>
        <w:rPr>
          <w:rFonts w:hint="eastAsia" w:hAnsi="宋体"/>
          <w:bCs/>
          <w:color w:val="auto"/>
          <w:sz w:val="24"/>
        </w:rPr>
        <w:t>成交供应商所提供的产品或设备必须按</w:t>
      </w:r>
      <w:r>
        <w:rPr>
          <w:rFonts w:hint="eastAsia" w:hAnsi="宋体"/>
          <w:bCs/>
          <w:color w:val="auto"/>
          <w:sz w:val="24"/>
          <w:lang w:eastAsia="zh-CN"/>
        </w:rPr>
        <w:t>询价通知书</w:t>
      </w:r>
      <w:r>
        <w:rPr>
          <w:rFonts w:hint="eastAsia" w:hAnsi="宋体"/>
          <w:bCs/>
          <w:color w:val="auto"/>
          <w:sz w:val="24"/>
        </w:rPr>
        <w:t>、</w:t>
      </w:r>
      <w:r>
        <w:rPr>
          <w:rFonts w:hint="eastAsia" w:hAnsi="宋体"/>
          <w:bCs/>
          <w:color w:val="auto"/>
          <w:sz w:val="24"/>
          <w:lang w:eastAsia="zh-CN"/>
        </w:rPr>
        <w:t>询价响应文件</w:t>
      </w:r>
      <w:r>
        <w:rPr>
          <w:rFonts w:hint="eastAsia" w:hAnsi="宋体"/>
          <w:bCs/>
          <w:color w:val="auto"/>
          <w:sz w:val="24"/>
        </w:rPr>
        <w:t>等有关内容进行验收。成交供应商提供设备的制造标准及技术规范等有关资料必须符合中国相应有关标准、规范要求。</w:t>
      </w:r>
      <w:bookmarkEnd w:id="84"/>
      <w:bookmarkEnd w:id="85"/>
    </w:p>
    <w:p>
      <w:pPr>
        <w:pStyle w:val="17"/>
        <w:spacing w:line="360" w:lineRule="auto"/>
        <w:ind w:firstLine="240" w:firstLineChars="100"/>
        <w:jc w:val="left"/>
        <w:outlineLvl w:val="1"/>
        <w:rPr>
          <w:rFonts w:hAnsi="宋体"/>
          <w:bCs/>
          <w:color w:val="auto"/>
          <w:sz w:val="24"/>
        </w:rPr>
      </w:pPr>
      <w:bookmarkStart w:id="86" w:name="_Toc3885"/>
      <w:bookmarkStart w:id="87" w:name="_Toc24770"/>
      <w:r>
        <w:rPr>
          <w:rFonts w:hint="eastAsia" w:hAnsi="宋体"/>
          <w:bCs/>
          <w:color w:val="auto"/>
          <w:sz w:val="24"/>
        </w:rPr>
        <w:t>9.</w:t>
      </w:r>
      <w:r>
        <w:rPr>
          <w:rFonts w:hint="eastAsia" w:hAnsi="宋体"/>
          <w:bCs/>
          <w:color w:val="auto"/>
          <w:sz w:val="24"/>
          <w:lang w:val="en-US" w:eastAsia="zh-CN"/>
        </w:rPr>
        <w:t>2</w:t>
      </w:r>
      <w:r>
        <w:rPr>
          <w:rFonts w:hint="eastAsia" w:hAnsi="宋体"/>
          <w:bCs/>
          <w:color w:val="auto"/>
          <w:sz w:val="24"/>
        </w:rPr>
        <w:t>.2验收程序和方法</w:t>
      </w:r>
      <w:bookmarkEnd w:id="86"/>
      <w:bookmarkEnd w:id="87"/>
    </w:p>
    <w:p>
      <w:pPr>
        <w:pStyle w:val="17"/>
        <w:spacing w:line="360" w:lineRule="auto"/>
        <w:ind w:firstLine="240" w:firstLineChars="100"/>
        <w:jc w:val="left"/>
        <w:outlineLvl w:val="1"/>
        <w:rPr>
          <w:rFonts w:hAnsi="宋体"/>
          <w:bCs/>
          <w:color w:val="auto"/>
          <w:sz w:val="24"/>
        </w:rPr>
      </w:pPr>
      <w:bookmarkStart w:id="88" w:name="_Toc4427"/>
      <w:bookmarkStart w:id="89" w:name="_Toc3769"/>
      <w:r>
        <w:rPr>
          <w:rFonts w:hint="eastAsia" w:hAnsi="宋体"/>
          <w:bCs/>
          <w:color w:val="auto"/>
          <w:sz w:val="24"/>
        </w:rPr>
        <w:t>9.</w:t>
      </w:r>
      <w:r>
        <w:rPr>
          <w:rFonts w:hint="eastAsia" w:hAnsi="宋体"/>
          <w:bCs/>
          <w:color w:val="auto"/>
          <w:sz w:val="24"/>
          <w:lang w:val="en-US" w:eastAsia="zh-CN"/>
        </w:rPr>
        <w:t>2</w:t>
      </w:r>
      <w:r>
        <w:rPr>
          <w:rFonts w:hint="eastAsia" w:hAnsi="宋体"/>
          <w:bCs/>
          <w:color w:val="auto"/>
          <w:sz w:val="24"/>
        </w:rPr>
        <w:t>.2.1出厂检验</w:t>
      </w:r>
      <w:bookmarkEnd w:id="88"/>
      <w:bookmarkEnd w:id="89"/>
    </w:p>
    <w:p>
      <w:pPr>
        <w:pStyle w:val="17"/>
        <w:spacing w:line="360" w:lineRule="auto"/>
        <w:ind w:firstLine="240" w:firstLineChars="100"/>
        <w:jc w:val="left"/>
        <w:outlineLvl w:val="1"/>
        <w:rPr>
          <w:rFonts w:hAnsi="宋体"/>
          <w:bCs/>
          <w:color w:val="auto"/>
          <w:sz w:val="24"/>
        </w:rPr>
      </w:pPr>
      <w:bookmarkStart w:id="90" w:name="_Toc25540"/>
      <w:bookmarkStart w:id="91" w:name="_Toc24493"/>
      <w:r>
        <w:rPr>
          <w:rFonts w:hint="eastAsia" w:hAnsi="宋体"/>
          <w:bCs/>
          <w:color w:val="auto"/>
          <w:sz w:val="24"/>
        </w:rPr>
        <w:t>成交供应商在设备出厂前，应按合同规定的检验项目和检验方法进行全面检验，成交供应商应随同货物出具供货证明、产地证书、出厂检验报告和设备质量合格证等。结果必须符合第9.</w:t>
      </w:r>
      <w:r>
        <w:rPr>
          <w:rFonts w:hint="eastAsia" w:hAnsi="宋体"/>
          <w:bCs/>
          <w:color w:val="auto"/>
          <w:sz w:val="24"/>
          <w:lang w:val="en-US" w:eastAsia="zh-CN"/>
        </w:rPr>
        <w:t>2</w:t>
      </w:r>
      <w:r>
        <w:rPr>
          <w:rFonts w:hint="eastAsia" w:hAnsi="宋体"/>
          <w:bCs/>
          <w:color w:val="auto"/>
          <w:sz w:val="24"/>
        </w:rPr>
        <w:t>.1款验收标准的要求。</w:t>
      </w:r>
      <w:bookmarkEnd w:id="90"/>
      <w:bookmarkEnd w:id="91"/>
    </w:p>
    <w:p>
      <w:pPr>
        <w:pStyle w:val="17"/>
        <w:spacing w:line="360" w:lineRule="auto"/>
        <w:ind w:firstLine="240" w:firstLineChars="100"/>
        <w:jc w:val="left"/>
        <w:outlineLvl w:val="1"/>
        <w:rPr>
          <w:rFonts w:hAnsi="宋体"/>
          <w:bCs/>
          <w:color w:val="auto"/>
          <w:sz w:val="24"/>
        </w:rPr>
      </w:pPr>
      <w:bookmarkStart w:id="92" w:name="_Toc7442"/>
      <w:bookmarkStart w:id="93" w:name="_Toc8697"/>
      <w:r>
        <w:rPr>
          <w:rFonts w:hint="eastAsia" w:hAnsi="宋体"/>
          <w:bCs/>
          <w:color w:val="auto"/>
          <w:sz w:val="24"/>
        </w:rPr>
        <w:t>9.</w:t>
      </w:r>
      <w:r>
        <w:rPr>
          <w:rFonts w:hint="eastAsia" w:hAnsi="宋体"/>
          <w:bCs/>
          <w:color w:val="auto"/>
          <w:sz w:val="24"/>
          <w:lang w:val="en-US" w:eastAsia="zh-CN"/>
        </w:rPr>
        <w:t>2</w:t>
      </w:r>
      <w:r>
        <w:rPr>
          <w:rFonts w:hint="eastAsia" w:hAnsi="宋体"/>
          <w:bCs/>
          <w:color w:val="auto"/>
          <w:sz w:val="24"/>
        </w:rPr>
        <w:t>.2.2成交供应商自检</w:t>
      </w:r>
      <w:bookmarkEnd w:id="92"/>
      <w:bookmarkEnd w:id="93"/>
    </w:p>
    <w:p>
      <w:pPr>
        <w:pStyle w:val="17"/>
        <w:spacing w:line="360" w:lineRule="auto"/>
        <w:ind w:firstLine="240" w:firstLineChars="100"/>
        <w:jc w:val="left"/>
        <w:outlineLvl w:val="1"/>
        <w:rPr>
          <w:rFonts w:hAnsi="宋体"/>
          <w:bCs/>
          <w:color w:val="auto"/>
          <w:sz w:val="24"/>
        </w:rPr>
      </w:pPr>
      <w:bookmarkStart w:id="94" w:name="_Toc4046"/>
      <w:bookmarkStart w:id="95" w:name="_Toc2094"/>
      <w:r>
        <w:rPr>
          <w:rFonts w:hint="eastAsia" w:hAnsi="宋体"/>
          <w:bCs/>
          <w:color w:val="auto"/>
          <w:sz w:val="24"/>
        </w:rPr>
        <w:t>设备在安装地安装完毕后，要求成交供应商对所有设备的性能进行自检，检验结果必须符合</w:t>
      </w:r>
      <w:r>
        <w:rPr>
          <w:rFonts w:hint="eastAsia" w:hAnsi="宋体"/>
          <w:bCs/>
          <w:color w:val="auto"/>
          <w:sz w:val="24"/>
          <w:lang w:eastAsia="zh-CN"/>
        </w:rPr>
        <w:t>询价通知书</w:t>
      </w:r>
      <w:r>
        <w:rPr>
          <w:rFonts w:hint="eastAsia" w:hAnsi="宋体"/>
          <w:bCs/>
          <w:color w:val="auto"/>
          <w:sz w:val="24"/>
        </w:rPr>
        <w:t>技术要求以及合同中相关条款。</w:t>
      </w:r>
      <w:bookmarkEnd w:id="94"/>
      <w:bookmarkEnd w:id="95"/>
    </w:p>
    <w:p>
      <w:pPr>
        <w:pStyle w:val="17"/>
        <w:spacing w:line="360" w:lineRule="auto"/>
        <w:ind w:firstLine="240" w:firstLineChars="100"/>
        <w:jc w:val="left"/>
        <w:outlineLvl w:val="1"/>
        <w:rPr>
          <w:rFonts w:hAnsi="宋体"/>
          <w:bCs/>
          <w:color w:val="auto"/>
          <w:sz w:val="24"/>
        </w:rPr>
      </w:pPr>
      <w:bookmarkStart w:id="96" w:name="_Toc17973"/>
      <w:bookmarkStart w:id="97" w:name="_Toc27536"/>
      <w:r>
        <w:rPr>
          <w:rFonts w:hint="eastAsia" w:hAnsi="宋体"/>
          <w:bCs/>
          <w:color w:val="auto"/>
          <w:sz w:val="24"/>
        </w:rPr>
        <w:t>9.</w:t>
      </w:r>
      <w:r>
        <w:rPr>
          <w:rFonts w:hint="eastAsia" w:hAnsi="宋体"/>
          <w:bCs/>
          <w:color w:val="auto"/>
          <w:sz w:val="24"/>
          <w:lang w:val="en-US" w:eastAsia="zh-CN"/>
        </w:rPr>
        <w:t>2</w:t>
      </w:r>
      <w:r>
        <w:rPr>
          <w:rFonts w:hint="eastAsia" w:hAnsi="宋体"/>
          <w:bCs/>
          <w:color w:val="auto"/>
          <w:sz w:val="24"/>
        </w:rPr>
        <w:t>.2.3验收与最终验收</w:t>
      </w:r>
      <w:bookmarkEnd w:id="96"/>
      <w:bookmarkEnd w:id="97"/>
    </w:p>
    <w:p>
      <w:pPr>
        <w:pStyle w:val="17"/>
        <w:spacing w:line="360" w:lineRule="auto"/>
        <w:ind w:firstLine="240" w:firstLineChars="100"/>
        <w:jc w:val="left"/>
        <w:outlineLvl w:val="1"/>
        <w:rPr>
          <w:rFonts w:hAnsi="宋体"/>
          <w:bCs/>
          <w:color w:val="auto"/>
          <w:sz w:val="24"/>
        </w:rPr>
      </w:pPr>
      <w:bookmarkStart w:id="98" w:name="_Toc24117"/>
      <w:bookmarkStart w:id="99" w:name="_Toc184"/>
      <w:r>
        <w:rPr>
          <w:rFonts w:hint="eastAsia" w:hAnsi="宋体"/>
          <w:bCs/>
          <w:color w:val="auto"/>
          <w:sz w:val="24"/>
        </w:rPr>
        <w:t>成交供应商自检后，成交供应商与采购人一同按</w:t>
      </w:r>
      <w:r>
        <w:rPr>
          <w:rFonts w:hint="eastAsia" w:hAnsi="宋体"/>
          <w:bCs/>
          <w:color w:val="auto"/>
          <w:sz w:val="24"/>
          <w:lang w:eastAsia="zh-CN"/>
        </w:rPr>
        <w:t>询价通知书</w:t>
      </w:r>
      <w:r>
        <w:rPr>
          <w:rFonts w:hint="eastAsia" w:hAnsi="宋体"/>
          <w:bCs/>
          <w:color w:val="auto"/>
          <w:sz w:val="24"/>
        </w:rPr>
        <w:t>以及合同相关条款要求对设备进行验收，验收结果应符合采购人使用要求。</w:t>
      </w:r>
      <w:bookmarkEnd w:id="98"/>
      <w:bookmarkEnd w:id="99"/>
    </w:p>
    <w:p>
      <w:pPr>
        <w:pStyle w:val="17"/>
        <w:spacing w:line="360" w:lineRule="auto"/>
        <w:ind w:firstLine="240" w:firstLineChars="100"/>
        <w:jc w:val="left"/>
        <w:outlineLvl w:val="1"/>
        <w:rPr>
          <w:rFonts w:hAnsi="宋体"/>
          <w:bCs/>
          <w:color w:val="auto"/>
          <w:sz w:val="24"/>
        </w:rPr>
      </w:pPr>
      <w:bookmarkStart w:id="100" w:name="_Toc23380"/>
      <w:bookmarkStart w:id="101" w:name="_Toc21366"/>
      <w:r>
        <w:rPr>
          <w:rFonts w:hint="eastAsia" w:hAnsi="宋体"/>
          <w:bCs/>
          <w:color w:val="auto"/>
          <w:sz w:val="24"/>
        </w:rPr>
        <w:t>安装完毕后，成交供应商需派有设备调试经验的技术人员对设备进行调试，按验收指标逐项检验，直至全部达到要求。</w:t>
      </w:r>
      <w:bookmarkEnd w:id="100"/>
      <w:bookmarkEnd w:id="101"/>
    </w:p>
    <w:p>
      <w:pPr>
        <w:pStyle w:val="17"/>
        <w:spacing w:line="360" w:lineRule="auto"/>
        <w:ind w:firstLine="240" w:firstLineChars="100"/>
        <w:jc w:val="left"/>
        <w:outlineLvl w:val="1"/>
        <w:rPr>
          <w:rFonts w:hAnsi="宋体"/>
          <w:bCs/>
          <w:color w:val="auto"/>
          <w:sz w:val="24"/>
        </w:rPr>
      </w:pPr>
      <w:bookmarkStart w:id="102" w:name="_Toc13635"/>
      <w:bookmarkStart w:id="103" w:name="_Toc12117"/>
      <w:r>
        <w:rPr>
          <w:rFonts w:hint="eastAsia" w:hAnsi="宋体"/>
          <w:bCs/>
          <w:color w:val="auto"/>
          <w:sz w:val="24"/>
        </w:rPr>
        <w:t>9.</w:t>
      </w:r>
      <w:r>
        <w:rPr>
          <w:rFonts w:hint="eastAsia" w:hAnsi="宋体"/>
          <w:bCs/>
          <w:color w:val="auto"/>
          <w:sz w:val="24"/>
          <w:lang w:val="en-US" w:eastAsia="zh-CN"/>
        </w:rPr>
        <w:t>2</w:t>
      </w:r>
      <w:r>
        <w:rPr>
          <w:rFonts w:hint="eastAsia" w:hAnsi="宋体"/>
          <w:bCs/>
          <w:color w:val="auto"/>
          <w:sz w:val="24"/>
        </w:rPr>
        <w:t>.3验收所发生的一切费用均由成交供应商承担。</w:t>
      </w:r>
      <w:bookmarkEnd w:id="102"/>
      <w:bookmarkEnd w:id="103"/>
    </w:p>
    <w:p>
      <w:pPr>
        <w:pStyle w:val="17"/>
        <w:spacing w:line="360" w:lineRule="auto"/>
        <w:jc w:val="left"/>
        <w:outlineLvl w:val="1"/>
        <w:rPr>
          <w:rFonts w:hAnsi="宋体"/>
          <w:bCs/>
          <w:color w:val="auto"/>
          <w:sz w:val="24"/>
        </w:rPr>
      </w:pPr>
      <w:bookmarkStart w:id="104" w:name="_Toc16193"/>
      <w:bookmarkStart w:id="105" w:name="_Toc4509"/>
      <w:r>
        <w:rPr>
          <w:rFonts w:hint="eastAsia" w:hAnsi="宋体"/>
          <w:bCs/>
          <w:color w:val="auto"/>
          <w:sz w:val="24"/>
        </w:rPr>
        <w:t>10、技术资料要求(成交供应商应向采购人提供以下目录中部分或全部的技术资料壹套，各项指标和参数应符合验收标准，采购人有权委托有资格单位或机构对设备性能、精度进行校核。)</w:t>
      </w:r>
      <w:bookmarkEnd w:id="104"/>
      <w:bookmarkEnd w:id="105"/>
    </w:p>
    <w:p>
      <w:pPr>
        <w:pStyle w:val="17"/>
        <w:spacing w:line="360" w:lineRule="auto"/>
        <w:ind w:firstLine="240" w:firstLineChars="100"/>
        <w:jc w:val="left"/>
        <w:outlineLvl w:val="1"/>
        <w:rPr>
          <w:rFonts w:hAnsi="宋体"/>
          <w:bCs/>
          <w:color w:val="auto"/>
          <w:sz w:val="24"/>
        </w:rPr>
      </w:pPr>
      <w:bookmarkStart w:id="106" w:name="_Toc24983"/>
      <w:bookmarkStart w:id="107" w:name="_Toc1997"/>
      <w:r>
        <w:rPr>
          <w:rFonts w:hint="eastAsia" w:hAnsi="宋体"/>
          <w:bCs/>
          <w:color w:val="auto"/>
          <w:sz w:val="24"/>
        </w:rPr>
        <w:t>10.1出厂明细表(装箱单)；</w:t>
      </w:r>
      <w:bookmarkEnd w:id="106"/>
      <w:bookmarkEnd w:id="107"/>
    </w:p>
    <w:p>
      <w:pPr>
        <w:pStyle w:val="17"/>
        <w:spacing w:line="360" w:lineRule="auto"/>
        <w:ind w:firstLine="240" w:firstLineChars="100"/>
        <w:jc w:val="left"/>
        <w:outlineLvl w:val="1"/>
        <w:rPr>
          <w:rFonts w:hAnsi="宋体"/>
          <w:bCs/>
          <w:color w:val="auto"/>
          <w:sz w:val="24"/>
        </w:rPr>
      </w:pPr>
      <w:bookmarkStart w:id="108" w:name="_Toc26232"/>
      <w:bookmarkStart w:id="109" w:name="_Toc3639"/>
      <w:r>
        <w:rPr>
          <w:rFonts w:hint="eastAsia" w:hAnsi="宋体"/>
          <w:bCs/>
          <w:color w:val="auto"/>
          <w:sz w:val="24"/>
        </w:rPr>
        <w:t>10.2出厂检验报告和合格证书；</w:t>
      </w:r>
      <w:bookmarkEnd w:id="108"/>
      <w:bookmarkEnd w:id="109"/>
    </w:p>
    <w:p>
      <w:pPr>
        <w:pStyle w:val="17"/>
        <w:spacing w:line="360" w:lineRule="auto"/>
        <w:ind w:firstLine="240" w:firstLineChars="100"/>
        <w:jc w:val="left"/>
        <w:outlineLvl w:val="1"/>
        <w:rPr>
          <w:rFonts w:hAnsi="宋体"/>
          <w:bCs/>
          <w:color w:val="auto"/>
          <w:sz w:val="24"/>
        </w:rPr>
      </w:pPr>
      <w:bookmarkStart w:id="110" w:name="_Toc7666"/>
      <w:bookmarkStart w:id="111" w:name="_Toc28573"/>
      <w:r>
        <w:rPr>
          <w:rFonts w:hint="eastAsia" w:hAnsi="宋体"/>
          <w:bCs/>
          <w:color w:val="auto"/>
          <w:sz w:val="24"/>
        </w:rPr>
        <w:t>10.3使用说明书；</w:t>
      </w:r>
      <w:bookmarkEnd w:id="110"/>
      <w:bookmarkEnd w:id="111"/>
    </w:p>
    <w:p>
      <w:pPr>
        <w:pStyle w:val="17"/>
        <w:spacing w:line="360" w:lineRule="auto"/>
        <w:ind w:firstLine="240" w:firstLineChars="100"/>
        <w:jc w:val="left"/>
        <w:outlineLvl w:val="1"/>
        <w:rPr>
          <w:rFonts w:hAnsi="宋体"/>
          <w:bCs/>
          <w:color w:val="auto"/>
          <w:sz w:val="24"/>
        </w:rPr>
      </w:pPr>
      <w:bookmarkStart w:id="112" w:name="_Toc30595"/>
      <w:bookmarkStart w:id="113" w:name="_Toc28421"/>
      <w:r>
        <w:rPr>
          <w:rFonts w:hint="eastAsia" w:hAnsi="宋体"/>
          <w:bCs/>
          <w:color w:val="auto"/>
          <w:sz w:val="24"/>
        </w:rPr>
        <w:t>10.4安装手册、操作手册、维修手册；</w:t>
      </w:r>
      <w:bookmarkEnd w:id="112"/>
      <w:bookmarkEnd w:id="113"/>
    </w:p>
    <w:p>
      <w:pPr>
        <w:pStyle w:val="17"/>
        <w:spacing w:line="360" w:lineRule="auto"/>
        <w:ind w:firstLine="240" w:firstLineChars="100"/>
        <w:jc w:val="left"/>
        <w:outlineLvl w:val="1"/>
        <w:rPr>
          <w:rFonts w:hAnsi="宋体"/>
          <w:bCs/>
          <w:color w:val="auto"/>
          <w:sz w:val="24"/>
        </w:rPr>
      </w:pPr>
      <w:bookmarkStart w:id="114" w:name="_Toc15242"/>
      <w:bookmarkStart w:id="115" w:name="_Toc14771"/>
      <w:r>
        <w:rPr>
          <w:rFonts w:hint="eastAsia" w:hAnsi="宋体"/>
          <w:bCs/>
          <w:color w:val="auto"/>
          <w:sz w:val="24"/>
        </w:rPr>
        <w:t>10.5零部件目录；</w:t>
      </w:r>
      <w:bookmarkEnd w:id="114"/>
      <w:bookmarkEnd w:id="115"/>
    </w:p>
    <w:p>
      <w:pPr>
        <w:pStyle w:val="17"/>
        <w:spacing w:line="360" w:lineRule="auto"/>
        <w:ind w:firstLine="240" w:firstLineChars="100"/>
        <w:jc w:val="left"/>
        <w:outlineLvl w:val="1"/>
        <w:rPr>
          <w:rFonts w:hAnsi="宋体"/>
          <w:bCs/>
          <w:color w:val="auto"/>
          <w:sz w:val="24"/>
        </w:rPr>
      </w:pPr>
      <w:bookmarkStart w:id="116" w:name="_Toc19251"/>
      <w:bookmarkStart w:id="117" w:name="_Toc9196"/>
      <w:r>
        <w:rPr>
          <w:rFonts w:hint="eastAsia" w:hAnsi="宋体"/>
          <w:bCs/>
          <w:color w:val="auto"/>
          <w:sz w:val="24"/>
        </w:rPr>
        <w:t>10.6相关文件、支持程序光盘；</w:t>
      </w:r>
      <w:bookmarkEnd w:id="116"/>
      <w:bookmarkEnd w:id="117"/>
    </w:p>
    <w:p>
      <w:pPr>
        <w:pStyle w:val="17"/>
        <w:spacing w:line="360" w:lineRule="auto"/>
        <w:ind w:firstLine="240" w:firstLineChars="100"/>
        <w:jc w:val="left"/>
        <w:outlineLvl w:val="1"/>
        <w:rPr>
          <w:rFonts w:hAnsi="宋体"/>
          <w:bCs/>
          <w:color w:val="auto"/>
          <w:sz w:val="24"/>
        </w:rPr>
      </w:pPr>
      <w:bookmarkStart w:id="118" w:name="_Toc24360"/>
      <w:bookmarkStart w:id="119" w:name="_Toc22440"/>
      <w:r>
        <w:rPr>
          <w:rFonts w:hint="eastAsia" w:hAnsi="宋体"/>
          <w:bCs/>
          <w:color w:val="auto"/>
          <w:sz w:val="24"/>
        </w:rPr>
        <w:t>10.7安装、维修及操作手册；</w:t>
      </w:r>
      <w:bookmarkEnd w:id="118"/>
      <w:bookmarkEnd w:id="119"/>
    </w:p>
    <w:p>
      <w:pPr>
        <w:pStyle w:val="17"/>
        <w:spacing w:line="360" w:lineRule="auto"/>
        <w:ind w:firstLine="240" w:firstLineChars="100"/>
        <w:jc w:val="left"/>
        <w:outlineLvl w:val="1"/>
        <w:rPr>
          <w:rFonts w:hAnsi="宋体"/>
          <w:bCs/>
          <w:color w:val="auto"/>
          <w:sz w:val="24"/>
        </w:rPr>
      </w:pPr>
      <w:bookmarkStart w:id="120" w:name="_Toc6121"/>
      <w:bookmarkStart w:id="121" w:name="_Toc12715"/>
      <w:r>
        <w:rPr>
          <w:rFonts w:hint="eastAsia" w:hAnsi="宋体"/>
          <w:bCs/>
          <w:color w:val="auto"/>
          <w:sz w:val="24"/>
        </w:rPr>
        <w:t>10.8合同中要求的其它文件资料。</w:t>
      </w:r>
      <w:bookmarkEnd w:id="120"/>
      <w:bookmarkEnd w:id="121"/>
    </w:p>
    <w:p>
      <w:pPr>
        <w:pStyle w:val="17"/>
        <w:spacing w:line="360" w:lineRule="auto"/>
        <w:jc w:val="left"/>
        <w:outlineLvl w:val="1"/>
        <w:rPr>
          <w:rFonts w:hAnsi="宋体"/>
          <w:bCs/>
          <w:color w:val="auto"/>
          <w:sz w:val="24"/>
        </w:rPr>
      </w:pPr>
      <w:bookmarkStart w:id="122" w:name="_Toc7854"/>
      <w:bookmarkStart w:id="123" w:name="_Toc6011"/>
      <w:r>
        <w:rPr>
          <w:rFonts w:hint="eastAsia" w:hAnsi="宋体"/>
          <w:bCs/>
          <w:color w:val="auto"/>
          <w:sz w:val="24"/>
        </w:rPr>
        <w:t>11、质保期和售后服务要求</w:t>
      </w:r>
      <w:bookmarkEnd w:id="122"/>
      <w:bookmarkEnd w:id="123"/>
    </w:p>
    <w:p>
      <w:pPr>
        <w:pStyle w:val="17"/>
        <w:spacing w:line="360" w:lineRule="auto"/>
        <w:ind w:firstLine="240" w:firstLineChars="100"/>
        <w:jc w:val="left"/>
        <w:outlineLvl w:val="1"/>
        <w:rPr>
          <w:rFonts w:hint="eastAsia" w:hAnsi="宋体"/>
          <w:bCs/>
          <w:color w:val="auto"/>
          <w:sz w:val="24"/>
        </w:rPr>
      </w:pPr>
      <w:bookmarkStart w:id="124" w:name="_Toc17460"/>
      <w:bookmarkStart w:id="125" w:name="_Toc8942"/>
      <w:r>
        <w:rPr>
          <w:rFonts w:hint="eastAsia" w:hAnsi="宋体"/>
          <w:bCs/>
          <w:color w:val="auto"/>
          <w:sz w:val="24"/>
        </w:rPr>
        <w:t>11.1本项目所有产品须提供至少两年的原厂免费保修期，保修期内实行三包，质保期后提供有偿维修服务（由使用方自行负责）。质保期内智慧党建平台软件须提供免费运营维护服务。质保期后有偿提供软件系统的数据服务、使用培训、版本升级和系统的维护（由使用方自行负责）。</w:t>
      </w:r>
    </w:p>
    <w:bookmarkEnd w:id="124"/>
    <w:bookmarkEnd w:id="125"/>
    <w:p>
      <w:pPr>
        <w:pStyle w:val="17"/>
        <w:spacing w:line="360" w:lineRule="auto"/>
        <w:ind w:firstLine="240" w:firstLineChars="100"/>
        <w:jc w:val="left"/>
        <w:outlineLvl w:val="1"/>
        <w:rPr>
          <w:rFonts w:hint="eastAsia" w:hAnsi="宋体"/>
          <w:bCs/>
          <w:color w:val="auto"/>
          <w:sz w:val="24"/>
          <w:lang w:eastAsia="zh-CN"/>
        </w:rPr>
      </w:pPr>
      <w:bookmarkStart w:id="126" w:name="_Toc234"/>
      <w:bookmarkStart w:id="127" w:name="_Toc20887"/>
      <w:r>
        <w:rPr>
          <w:rFonts w:hint="eastAsia" w:hAnsi="宋体"/>
          <w:bCs/>
          <w:color w:val="auto"/>
          <w:sz w:val="24"/>
        </w:rPr>
        <w:t>11.2质保期内设备在48小时内无法修复，则需提供一台相同性能设备，在质保期内供用户免费使用。</w:t>
      </w:r>
    </w:p>
    <w:bookmarkEnd w:id="126"/>
    <w:bookmarkEnd w:id="127"/>
    <w:p>
      <w:pPr>
        <w:pStyle w:val="17"/>
        <w:spacing w:line="360" w:lineRule="auto"/>
        <w:ind w:firstLine="240" w:firstLineChars="100"/>
        <w:jc w:val="left"/>
        <w:outlineLvl w:val="1"/>
        <w:rPr>
          <w:rFonts w:hAnsi="宋体"/>
          <w:bCs/>
          <w:color w:val="auto"/>
          <w:sz w:val="24"/>
        </w:rPr>
      </w:pPr>
      <w:bookmarkStart w:id="128" w:name="_Toc29333"/>
      <w:bookmarkStart w:id="129" w:name="_Toc31467"/>
      <w:r>
        <w:rPr>
          <w:rFonts w:hint="eastAsia" w:hAnsi="宋体"/>
          <w:bCs/>
          <w:color w:val="auto"/>
          <w:sz w:val="24"/>
        </w:rPr>
        <w:t>11.3</w:t>
      </w:r>
      <w:r>
        <w:rPr>
          <w:rFonts w:hint="eastAsia" w:ascii="宋体" w:hAnsi="宋体" w:cs="宋体"/>
          <w:sz w:val="24"/>
        </w:rPr>
        <w:t>质保期内</w:t>
      </w:r>
      <w:r>
        <w:rPr>
          <w:rFonts w:hint="eastAsia" w:ascii="宋体" w:hAnsi="宋体" w:cs="宋体"/>
          <w:sz w:val="24"/>
          <w:lang w:eastAsia="zh-CN"/>
        </w:rPr>
        <w:t>成交供应商</w:t>
      </w:r>
      <w:r>
        <w:rPr>
          <w:rFonts w:hint="eastAsia" w:ascii="宋体" w:hAnsi="宋体" w:cs="宋体"/>
          <w:sz w:val="24"/>
        </w:rPr>
        <w:t>应对设备至少每年免费提供一次系统全面保养。在龙岩市内配备有专职工程师，不定期以电话或上门的方式与客户联系，并对客户的产品进行维护和保养。</w:t>
      </w:r>
      <w:bookmarkEnd w:id="128"/>
      <w:bookmarkEnd w:id="129"/>
    </w:p>
    <w:p>
      <w:pPr>
        <w:pStyle w:val="17"/>
        <w:spacing w:line="360" w:lineRule="auto"/>
        <w:ind w:firstLine="240" w:firstLineChars="100"/>
        <w:jc w:val="left"/>
        <w:outlineLvl w:val="1"/>
        <w:rPr>
          <w:rFonts w:hAnsi="宋体"/>
          <w:bCs/>
          <w:color w:val="auto"/>
          <w:sz w:val="24"/>
        </w:rPr>
      </w:pPr>
      <w:bookmarkStart w:id="130" w:name="_Toc2549"/>
      <w:bookmarkStart w:id="131" w:name="_Toc5345"/>
      <w:r>
        <w:rPr>
          <w:rFonts w:hint="eastAsia" w:hAnsi="宋体"/>
          <w:bCs/>
          <w:color w:val="auto"/>
          <w:sz w:val="24"/>
        </w:rPr>
        <w:t>11.4</w:t>
      </w:r>
      <w:r>
        <w:rPr>
          <w:rFonts w:hint="eastAsia" w:ascii="宋体" w:hAnsi="宋体" w:cs="宋体"/>
          <w:sz w:val="24"/>
        </w:rPr>
        <w:t>质保期结束后，</w:t>
      </w:r>
      <w:r>
        <w:rPr>
          <w:rFonts w:hint="eastAsia" w:ascii="宋体" w:hAnsi="宋体" w:cs="宋体"/>
          <w:sz w:val="24"/>
          <w:lang w:eastAsia="zh-CN"/>
        </w:rPr>
        <w:t>成交供应商</w:t>
      </w:r>
      <w:r>
        <w:rPr>
          <w:rFonts w:hint="eastAsia" w:ascii="宋体" w:hAnsi="宋体" w:cs="宋体"/>
          <w:sz w:val="24"/>
        </w:rPr>
        <w:t>应在货物使用地区指定有能力的代理人对货物在必要时进行定期维护和修理，能在</w:t>
      </w:r>
      <w:r>
        <w:rPr>
          <w:rFonts w:hint="eastAsia" w:ascii="宋体" w:hAnsi="宋体" w:cs="宋体"/>
          <w:sz w:val="24"/>
          <w:lang w:eastAsia="zh-CN"/>
        </w:rPr>
        <w:t>采购人</w:t>
      </w:r>
      <w:r>
        <w:rPr>
          <w:rFonts w:hint="eastAsia" w:ascii="宋体" w:hAnsi="宋体" w:cs="宋体"/>
          <w:sz w:val="24"/>
        </w:rPr>
        <w:t>提出要求后2小时内给予答复，仪器出现故障后的48小时内派人到达现场维修（不可抗拒原因除外），及时帮助用户解决问题。</w:t>
      </w:r>
      <w:bookmarkEnd w:id="130"/>
      <w:bookmarkEnd w:id="131"/>
    </w:p>
    <w:p>
      <w:pPr>
        <w:pStyle w:val="17"/>
        <w:spacing w:line="360" w:lineRule="auto"/>
        <w:ind w:firstLine="240" w:firstLineChars="100"/>
        <w:jc w:val="left"/>
        <w:outlineLvl w:val="1"/>
        <w:rPr>
          <w:rFonts w:hAnsi="宋体"/>
          <w:bCs/>
          <w:color w:val="auto"/>
          <w:sz w:val="24"/>
        </w:rPr>
      </w:pPr>
      <w:bookmarkStart w:id="132" w:name="_Toc15367"/>
      <w:bookmarkStart w:id="133" w:name="_Toc31477"/>
      <w:r>
        <w:rPr>
          <w:rFonts w:hint="eastAsia" w:hAnsi="宋体"/>
          <w:bCs/>
          <w:color w:val="auto"/>
          <w:sz w:val="24"/>
        </w:rPr>
        <w:t>11.5成交供应商</w:t>
      </w:r>
      <w:r>
        <w:rPr>
          <w:rFonts w:hint="eastAsia" w:hAnsi="宋体" w:cs="宋体"/>
          <w:sz w:val="24"/>
          <w:szCs w:val="24"/>
        </w:rPr>
        <w:t>应在供货时向</w:t>
      </w:r>
      <w:r>
        <w:rPr>
          <w:rFonts w:hint="eastAsia" w:hAnsi="宋体" w:cs="宋体"/>
          <w:sz w:val="24"/>
          <w:szCs w:val="24"/>
          <w:lang w:eastAsia="zh-CN"/>
        </w:rPr>
        <w:t>采购人</w:t>
      </w:r>
      <w:r>
        <w:rPr>
          <w:rFonts w:hint="eastAsia" w:hAnsi="宋体" w:cs="宋体"/>
          <w:sz w:val="24"/>
          <w:szCs w:val="24"/>
        </w:rPr>
        <w:t>提供完整的原版技术资料一套，内容包括产品彩页原件、使用说明书、通讯协议说明书,质控手册,维修手册、常用易消耗品单价以及合同中要求的其他文件资料等，进口设备须提供中英文说明书及电子版。各项指标和参数应符合验收标准，</w:t>
      </w:r>
      <w:r>
        <w:rPr>
          <w:rFonts w:hint="eastAsia" w:hAnsi="宋体" w:cs="宋体"/>
          <w:sz w:val="24"/>
          <w:szCs w:val="24"/>
          <w:lang w:eastAsia="zh-CN"/>
        </w:rPr>
        <w:t>采购人</w:t>
      </w:r>
      <w:r>
        <w:rPr>
          <w:rFonts w:hint="eastAsia" w:hAnsi="宋体" w:cs="宋体"/>
          <w:sz w:val="24"/>
          <w:szCs w:val="24"/>
        </w:rPr>
        <w:t>有权委托中国有资</w:t>
      </w:r>
      <w:r>
        <w:rPr>
          <w:rFonts w:hint="eastAsia" w:hAnsi="宋体" w:cs="宋体"/>
          <w:sz w:val="24"/>
          <w:szCs w:val="24"/>
          <w:lang w:eastAsia="zh-CN"/>
        </w:rPr>
        <w:t>质</w:t>
      </w:r>
      <w:r>
        <w:rPr>
          <w:rFonts w:hint="eastAsia" w:hAnsi="宋体" w:cs="宋体"/>
          <w:sz w:val="24"/>
          <w:szCs w:val="24"/>
        </w:rPr>
        <w:t>单位或机构对设备性能、精度进行校核。</w:t>
      </w:r>
      <w:bookmarkEnd w:id="132"/>
      <w:bookmarkEnd w:id="133"/>
    </w:p>
    <w:p>
      <w:pPr>
        <w:pStyle w:val="17"/>
        <w:spacing w:line="360" w:lineRule="auto"/>
        <w:ind w:firstLine="240" w:firstLineChars="100"/>
        <w:jc w:val="left"/>
        <w:outlineLvl w:val="1"/>
        <w:rPr>
          <w:rFonts w:hint="eastAsia" w:hAnsi="宋体"/>
          <w:bCs/>
          <w:color w:val="auto"/>
          <w:sz w:val="24"/>
        </w:rPr>
      </w:pPr>
      <w:bookmarkStart w:id="134" w:name="_Toc20491"/>
      <w:bookmarkStart w:id="135" w:name="_Toc164"/>
      <w:r>
        <w:rPr>
          <w:rFonts w:hint="eastAsia" w:hAnsi="宋体"/>
          <w:bCs/>
          <w:color w:val="auto"/>
          <w:sz w:val="24"/>
        </w:rPr>
        <w:t>11.6成交供应商</w:t>
      </w:r>
      <w:r>
        <w:rPr>
          <w:rFonts w:hint="eastAsia" w:hAnsi="宋体" w:cs="宋体"/>
          <w:sz w:val="24"/>
          <w:szCs w:val="24"/>
        </w:rPr>
        <w:t>需配合</w:t>
      </w:r>
      <w:r>
        <w:rPr>
          <w:rFonts w:hint="eastAsia" w:hAnsi="宋体" w:cs="宋体"/>
          <w:sz w:val="24"/>
          <w:szCs w:val="24"/>
          <w:lang w:eastAsia="zh-CN"/>
        </w:rPr>
        <w:t>采购人</w:t>
      </w:r>
      <w:r>
        <w:rPr>
          <w:rFonts w:hint="eastAsia" w:hAnsi="宋体" w:cs="宋体"/>
          <w:sz w:val="24"/>
          <w:szCs w:val="24"/>
        </w:rPr>
        <w:t>进行至少一次关于应用、维修、保养方面的免费的集中现场培训。</w:t>
      </w:r>
      <w:bookmarkEnd w:id="134"/>
      <w:bookmarkEnd w:id="135"/>
      <w:bookmarkStart w:id="136" w:name="_Toc6162"/>
    </w:p>
    <w:p>
      <w:pPr>
        <w:pStyle w:val="17"/>
        <w:spacing w:line="360" w:lineRule="auto"/>
        <w:ind w:firstLine="240" w:firstLineChars="100"/>
        <w:jc w:val="left"/>
        <w:outlineLvl w:val="1"/>
        <w:rPr>
          <w:rFonts w:hint="eastAsia" w:hAnsi="宋体"/>
          <w:bCs/>
          <w:color w:val="auto"/>
          <w:sz w:val="24"/>
        </w:rPr>
      </w:pPr>
      <w:bookmarkStart w:id="137" w:name="_Toc4407"/>
      <w:r>
        <w:rPr>
          <w:rFonts w:hint="eastAsia" w:hAnsi="宋体"/>
          <w:bCs/>
          <w:color w:val="auto"/>
          <w:sz w:val="24"/>
        </w:rPr>
        <w:t>11.7成交供应商</w:t>
      </w:r>
      <w:r>
        <w:rPr>
          <w:rFonts w:hint="eastAsia" w:hAnsi="宋体" w:cs="宋体"/>
          <w:sz w:val="24"/>
          <w:szCs w:val="24"/>
        </w:rPr>
        <w:t>应结合设备的安装、调试及试运行过程，进行免费的现场培训。</w:t>
      </w:r>
      <w:bookmarkEnd w:id="137"/>
    </w:p>
    <w:p>
      <w:pPr>
        <w:pStyle w:val="17"/>
        <w:spacing w:line="360" w:lineRule="auto"/>
        <w:ind w:firstLine="240" w:firstLineChars="100"/>
        <w:jc w:val="left"/>
        <w:outlineLvl w:val="1"/>
        <w:rPr>
          <w:rFonts w:hAnsi="宋体"/>
          <w:bCs/>
          <w:color w:val="auto"/>
          <w:sz w:val="24"/>
        </w:rPr>
      </w:pPr>
      <w:bookmarkStart w:id="138" w:name="_Toc8795"/>
      <w:r>
        <w:rPr>
          <w:rFonts w:hint="eastAsia" w:hAnsi="宋体"/>
          <w:bCs/>
          <w:color w:val="auto"/>
          <w:sz w:val="24"/>
          <w:lang w:val="en-US" w:eastAsia="zh-CN"/>
        </w:rPr>
        <w:t>11.8</w:t>
      </w:r>
      <w:r>
        <w:rPr>
          <w:rFonts w:hint="eastAsia" w:hAnsi="宋体"/>
          <w:bCs/>
          <w:color w:val="auto"/>
          <w:sz w:val="24"/>
        </w:rPr>
        <w:t>成交供应商在</w:t>
      </w:r>
      <w:r>
        <w:rPr>
          <w:rFonts w:hint="eastAsia" w:hAnsi="宋体"/>
          <w:bCs/>
          <w:color w:val="auto"/>
          <w:sz w:val="24"/>
          <w:lang w:eastAsia="zh-CN"/>
        </w:rPr>
        <w:t>询价响应文件</w:t>
      </w:r>
      <w:r>
        <w:rPr>
          <w:rFonts w:hint="eastAsia" w:hAnsi="宋体"/>
          <w:bCs/>
          <w:color w:val="auto"/>
          <w:sz w:val="24"/>
        </w:rPr>
        <w:t>中必须对质保期和售后服务作出承诺，包括但不限于</w:t>
      </w:r>
      <w:r>
        <w:rPr>
          <w:rFonts w:hint="eastAsia" w:hAnsi="宋体"/>
          <w:bCs/>
          <w:color w:val="auto"/>
          <w:sz w:val="24"/>
          <w:lang w:eastAsia="zh-CN"/>
        </w:rPr>
        <w:t>询价通知书</w:t>
      </w:r>
      <w:r>
        <w:rPr>
          <w:rFonts w:hint="eastAsia" w:hAnsi="宋体"/>
          <w:bCs/>
          <w:color w:val="auto"/>
          <w:sz w:val="24"/>
        </w:rPr>
        <w:t>有关的内容。</w:t>
      </w:r>
      <w:bookmarkEnd w:id="136"/>
      <w:bookmarkEnd w:id="138"/>
    </w:p>
    <w:p>
      <w:pPr>
        <w:pStyle w:val="17"/>
        <w:spacing w:line="360" w:lineRule="auto"/>
        <w:jc w:val="left"/>
        <w:outlineLvl w:val="1"/>
        <w:rPr>
          <w:rFonts w:hAnsi="宋体"/>
          <w:bCs/>
          <w:color w:val="auto"/>
          <w:sz w:val="24"/>
        </w:rPr>
      </w:pPr>
      <w:bookmarkStart w:id="139" w:name="_Toc10152"/>
      <w:bookmarkStart w:id="140" w:name="_Toc28450"/>
      <w:r>
        <w:rPr>
          <w:rFonts w:hint="eastAsia" w:hAnsi="宋体"/>
          <w:bCs/>
          <w:color w:val="auto"/>
          <w:sz w:val="24"/>
        </w:rPr>
        <w:t>12、技术培训</w:t>
      </w:r>
      <w:bookmarkEnd w:id="139"/>
      <w:bookmarkEnd w:id="140"/>
    </w:p>
    <w:p>
      <w:pPr>
        <w:pStyle w:val="17"/>
        <w:spacing w:line="360" w:lineRule="auto"/>
        <w:ind w:firstLine="240" w:firstLineChars="100"/>
        <w:jc w:val="left"/>
        <w:outlineLvl w:val="1"/>
        <w:rPr>
          <w:rFonts w:hAnsi="宋体"/>
          <w:bCs/>
          <w:color w:val="auto"/>
          <w:sz w:val="24"/>
        </w:rPr>
      </w:pPr>
      <w:bookmarkStart w:id="141" w:name="_Toc19877"/>
      <w:bookmarkStart w:id="142" w:name="_Toc9784"/>
      <w:r>
        <w:rPr>
          <w:rFonts w:hint="eastAsia" w:hAnsi="宋体"/>
          <w:bCs/>
          <w:color w:val="auto"/>
          <w:sz w:val="24"/>
        </w:rPr>
        <w:t>12.1成交供应商应免费对业主的技术人员进行操作和维修培训。成交供应商派出的培训教员，应对所提供的系统和设备具有三年以上操作和维修经验。</w:t>
      </w:r>
      <w:bookmarkEnd w:id="141"/>
      <w:bookmarkEnd w:id="142"/>
    </w:p>
    <w:p>
      <w:pPr>
        <w:pStyle w:val="17"/>
        <w:spacing w:line="360" w:lineRule="auto"/>
        <w:ind w:firstLine="240" w:firstLineChars="100"/>
        <w:jc w:val="left"/>
        <w:outlineLvl w:val="1"/>
        <w:rPr>
          <w:rFonts w:hAnsi="宋体"/>
          <w:bCs/>
          <w:color w:val="auto"/>
          <w:sz w:val="24"/>
        </w:rPr>
      </w:pPr>
      <w:bookmarkStart w:id="143" w:name="_Toc21950"/>
      <w:bookmarkStart w:id="144" w:name="_Toc21316"/>
      <w:r>
        <w:rPr>
          <w:rFonts w:hint="eastAsia" w:hAnsi="宋体"/>
          <w:bCs/>
          <w:color w:val="auto"/>
          <w:sz w:val="24"/>
        </w:rPr>
        <w:t>12.2现场培训：成交供应商应在系统开通后试运行期间为业主技术人员进行现场培训，在培训工作开始前成交供应商应向业主免费提供所有中文培训资料，包括操作、维修手册，要求受训人员能够了解系统及设备的基本结构、工作原理及操作程序，能进行实际操作和日常维护、排除一般故障。</w:t>
      </w:r>
      <w:bookmarkEnd w:id="143"/>
      <w:bookmarkEnd w:id="144"/>
    </w:p>
    <w:p>
      <w:pPr>
        <w:pStyle w:val="17"/>
        <w:spacing w:line="360" w:lineRule="auto"/>
        <w:jc w:val="left"/>
        <w:outlineLvl w:val="1"/>
        <w:rPr>
          <w:rFonts w:hAnsi="宋体"/>
          <w:bCs/>
          <w:color w:val="auto"/>
          <w:sz w:val="24"/>
        </w:rPr>
      </w:pPr>
      <w:bookmarkStart w:id="145" w:name="_Toc27640"/>
      <w:bookmarkStart w:id="146" w:name="_Toc20448"/>
      <w:r>
        <w:rPr>
          <w:rFonts w:hint="eastAsia" w:hAnsi="宋体"/>
          <w:bCs/>
          <w:color w:val="auto"/>
          <w:sz w:val="24"/>
        </w:rPr>
        <w:t>13、专用工具</w:t>
      </w:r>
      <w:bookmarkEnd w:id="145"/>
      <w:bookmarkEnd w:id="146"/>
    </w:p>
    <w:p>
      <w:pPr>
        <w:pStyle w:val="17"/>
        <w:spacing w:line="360" w:lineRule="auto"/>
        <w:jc w:val="left"/>
        <w:outlineLvl w:val="1"/>
        <w:rPr>
          <w:rFonts w:hAnsi="宋体"/>
          <w:bCs/>
          <w:color w:val="auto"/>
          <w:sz w:val="24"/>
        </w:rPr>
      </w:pPr>
      <w:bookmarkStart w:id="147" w:name="_Toc7887"/>
      <w:bookmarkStart w:id="148" w:name="_Toc1945"/>
      <w:r>
        <w:rPr>
          <w:rFonts w:hint="eastAsia" w:hAnsi="宋体"/>
          <w:bCs/>
          <w:color w:val="auto"/>
          <w:sz w:val="24"/>
        </w:rPr>
        <w:t>成交供应商应向采购人提供一套维修所需的专用工具及清单(清单附在</w:t>
      </w:r>
      <w:r>
        <w:rPr>
          <w:rFonts w:hint="eastAsia" w:hAnsi="宋体"/>
          <w:bCs/>
          <w:color w:val="auto"/>
          <w:sz w:val="24"/>
          <w:lang w:eastAsia="zh-CN"/>
        </w:rPr>
        <w:t>询价响应文件</w:t>
      </w:r>
      <w:r>
        <w:rPr>
          <w:rFonts w:hint="eastAsia" w:hAnsi="宋体"/>
          <w:bCs/>
          <w:color w:val="auto"/>
          <w:sz w:val="24"/>
        </w:rPr>
        <w:t>中)，其费用包括在投标总价中。</w:t>
      </w:r>
      <w:bookmarkEnd w:id="147"/>
      <w:bookmarkEnd w:id="148"/>
    </w:p>
    <w:p>
      <w:pPr>
        <w:pStyle w:val="17"/>
        <w:spacing w:line="360" w:lineRule="auto"/>
        <w:jc w:val="left"/>
        <w:outlineLvl w:val="1"/>
        <w:rPr>
          <w:bCs/>
          <w:color w:val="auto"/>
        </w:rPr>
      </w:pPr>
      <w:bookmarkStart w:id="149" w:name="_Toc29627"/>
      <w:bookmarkStart w:id="150" w:name="_Toc23593"/>
      <w:r>
        <w:rPr>
          <w:rFonts w:hint="eastAsia" w:hAnsi="宋体"/>
          <w:bCs/>
          <w:color w:val="auto"/>
          <w:sz w:val="24"/>
        </w:rPr>
        <w:t>四、其他事项</w:t>
      </w:r>
      <w:bookmarkEnd w:id="149"/>
      <w:bookmarkEnd w:id="150"/>
    </w:p>
    <w:p>
      <w:pPr>
        <w:spacing w:line="360" w:lineRule="auto"/>
        <w:ind w:firstLine="240" w:firstLineChars="100"/>
        <w:jc w:val="left"/>
        <w:rPr>
          <w:rFonts w:hAnsi="宋体"/>
          <w:bCs/>
          <w:color w:val="auto"/>
          <w:sz w:val="24"/>
        </w:rPr>
      </w:pPr>
      <w:r>
        <w:rPr>
          <w:rFonts w:hAnsi="宋体"/>
          <w:bCs/>
          <w:color w:val="auto"/>
          <w:sz w:val="24"/>
        </w:rPr>
        <w:t>1.</w:t>
      </w:r>
      <w:r>
        <w:rPr>
          <w:rFonts w:hint="eastAsia" w:hAnsi="宋体"/>
          <w:bCs/>
          <w:color w:val="auto"/>
          <w:sz w:val="24"/>
        </w:rPr>
        <w:t>供应商投报时须实质性满足《第三章</w:t>
      </w:r>
      <w:r>
        <w:rPr>
          <w:rFonts w:hAnsi="宋体"/>
          <w:bCs/>
          <w:color w:val="auto"/>
          <w:sz w:val="24"/>
        </w:rPr>
        <w:t xml:space="preserve">  </w:t>
      </w:r>
      <w:r>
        <w:rPr>
          <w:rFonts w:hint="eastAsia" w:hAnsi="宋体"/>
          <w:bCs/>
          <w:color w:val="auto"/>
          <w:sz w:val="24"/>
        </w:rPr>
        <w:t>询价内容及要求》</w:t>
      </w:r>
      <w:r>
        <w:rPr>
          <w:rFonts w:hAnsi="宋体"/>
          <w:bCs/>
          <w:color w:val="auto"/>
          <w:sz w:val="24"/>
        </w:rPr>
        <w:t xml:space="preserve"> </w:t>
      </w:r>
      <w:r>
        <w:rPr>
          <w:rFonts w:hint="eastAsia" w:hAnsi="宋体"/>
          <w:bCs/>
          <w:color w:val="auto"/>
          <w:sz w:val="24"/>
        </w:rPr>
        <w:t>“二、技术参数及要求”、“三、商务条件”的所有要求，否则视为重大偏离，报价无效。成交供应商如无法按上述要求实施的，采购人有权终止合同。</w:t>
      </w:r>
    </w:p>
    <w:p>
      <w:pPr>
        <w:spacing w:line="360" w:lineRule="auto"/>
        <w:ind w:firstLine="240" w:firstLineChars="100"/>
        <w:rPr>
          <w:rFonts w:hAnsi="宋体"/>
          <w:bCs/>
          <w:color w:val="auto"/>
          <w:sz w:val="24"/>
        </w:rPr>
      </w:pPr>
      <w:r>
        <w:rPr>
          <w:rFonts w:hAnsi="宋体"/>
          <w:bCs/>
          <w:color w:val="auto"/>
          <w:sz w:val="24"/>
        </w:rPr>
        <w:t>2.</w:t>
      </w:r>
      <w:r>
        <w:rPr>
          <w:rFonts w:hint="eastAsia" w:hAnsi="宋体"/>
          <w:bCs/>
          <w:color w:val="auto"/>
          <w:sz w:val="24"/>
        </w:rPr>
        <w:t>供应商对</w:t>
      </w:r>
      <w:r>
        <w:rPr>
          <w:rFonts w:hint="eastAsia" w:hAnsi="宋体"/>
          <w:sz w:val="24"/>
        </w:rPr>
        <w:t>“</w:t>
      </w:r>
      <w:r>
        <w:rPr>
          <w:rFonts w:hint="eastAsia" w:ascii="宋体" w:hAnsi="宋体"/>
          <w:sz w:val="24"/>
          <w:szCs w:val="20"/>
        </w:rPr>
        <w:t>二、</w:t>
      </w:r>
      <w:r>
        <w:rPr>
          <w:rFonts w:hint="eastAsia" w:ascii="宋体" w:hAnsi="宋体"/>
          <w:sz w:val="24"/>
        </w:rPr>
        <w:t>技术参数及要求</w:t>
      </w:r>
      <w:r>
        <w:rPr>
          <w:rFonts w:hint="eastAsia" w:hAnsi="宋体"/>
          <w:sz w:val="24"/>
        </w:rPr>
        <w:t>”</w:t>
      </w:r>
      <w:r>
        <w:rPr>
          <w:rFonts w:hint="eastAsia" w:ascii="宋体" w:hAnsi="宋体"/>
          <w:sz w:val="24"/>
        </w:rPr>
        <w:t>所有要求，</w:t>
      </w:r>
      <w:r>
        <w:rPr>
          <w:rFonts w:hint="eastAsia" w:hAnsi="宋体"/>
          <w:bCs/>
          <w:sz w:val="24"/>
        </w:rPr>
        <w:t>可统一提供承诺函</w:t>
      </w:r>
      <w:r>
        <w:rPr>
          <w:rFonts w:hint="eastAsia"/>
          <w:b/>
          <w:bCs/>
          <w:sz w:val="24"/>
        </w:rPr>
        <w:t>（技术参数及要求如有</w:t>
      </w:r>
      <w:r>
        <w:rPr>
          <w:rFonts w:hint="eastAsia" w:ascii="宋体" w:hAnsi="宋体"/>
          <w:b/>
          <w:bCs/>
          <w:sz w:val="24"/>
        </w:rPr>
        <w:t>要求提供相关证书及佐证材料</w:t>
      </w:r>
      <w:r>
        <w:rPr>
          <w:rFonts w:hint="eastAsia" w:ascii="宋体" w:hAnsi="宋体"/>
          <w:b/>
          <w:bCs/>
        </w:rPr>
        <w:t>，</w:t>
      </w:r>
      <w:r>
        <w:rPr>
          <w:rFonts w:hint="eastAsia" w:ascii="宋体" w:hAnsi="宋体"/>
          <w:b/>
          <w:bCs/>
          <w:sz w:val="24"/>
        </w:rPr>
        <w:t>投标时均需</w:t>
      </w:r>
      <w:r>
        <w:rPr>
          <w:rFonts w:hint="eastAsia" w:hAnsi="宋体"/>
          <w:b/>
          <w:bCs/>
          <w:sz w:val="24"/>
        </w:rPr>
        <w:t>提供，否则视为重大偏离，报价无效。</w:t>
      </w:r>
      <w:r>
        <w:rPr>
          <w:rFonts w:hint="eastAsia"/>
          <w:b/>
          <w:bCs/>
          <w:sz w:val="24"/>
        </w:rPr>
        <w:t>）</w:t>
      </w:r>
      <w:r>
        <w:rPr>
          <w:rFonts w:hint="eastAsia" w:hAnsi="宋体"/>
          <w:bCs/>
          <w:color w:val="auto"/>
          <w:sz w:val="24"/>
        </w:rPr>
        <w:t>，承诺函详见询价通知书《第五章</w:t>
      </w:r>
      <w:r>
        <w:rPr>
          <w:rFonts w:hAnsi="宋体"/>
          <w:bCs/>
          <w:color w:val="auto"/>
          <w:sz w:val="24"/>
        </w:rPr>
        <w:t xml:space="preserve"> </w:t>
      </w:r>
      <w:r>
        <w:rPr>
          <w:rFonts w:hint="eastAsia" w:hAnsi="宋体"/>
          <w:bCs/>
          <w:color w:val="auto"/>
          <w:sz w:val="24"/>
        </w:rPr>
        <w:t>响应文件格式》。</w:t>
      </w:r>
    </w:p>
    <w:p>
      <w:pPr>
        <w:spacing w:line="360" w:lineRule="auto"/>
        <w:ind w:firstLine="240" w:firstLineChars="100"/>
        <w:rPr>
          <w:rFonts w:hAnsi="宋体"/>
          <w:bCs/>
          <w:color w:val="auto"/>
          <w:sz w:val="24"/>
        </w:rPr>
      </w:pPr>
      <w:r>
        <w:rPr>
          <w:rFonts w:hAnsi="宋体"/>
          <w:bCs/>
          <w:color w:val="auto"/>
          <w:sz w:val="24"/>
        </w:rPr>
        <w:t>3.</w:t>
      </w:r>
      <w:r>
        <w:rPr>
          <w:rFonts w:hint="eastAsia" w:hAnsi="宋体"/>
          <w:bCs/>
          <w:color w:val="auto"/>
          <w:sz w:val="24"/>
        </w:rPr>
        <w:t>供应商对“三、商务条件”完全满足要求的可</w:t>
      </w:r>
      <w:r>
        <w:rPr>
          <w:rFonts w:hint="eastAsia" w:hAnsi="宋体"/>
          <w:bCs/>
          <w:color w:val="auto"/>
          <w:sz w:val="24"/>
          <w:lang w:val="en-US" w:eastAsia="zh-CN"/>
        </w:rPr>
        <w:t>统一</w:t>
      </w:r>
      <w:r>
        <w:rPr>
          <w:rFonts w:hint="eastAsia" w:hAnsi="宋体"/>
          <w:bCs/>
          <w:color w:val="auto"/>
          <w:sz w:val="24"/>
        </w:rPr>
        <w:t>提供承诺函，承诺函详见询价通知书《第五章</w:t>
      </w:r>
      <w:r>
        <w:rPr>
          <w:rFonts w:hAnsi="宋体"/>
          <w:bCs/>
          <w:color w:val="auto"/>
          <w:sz w:val="24"/>
        </w:rPr>
        <w:t xml:space="preserve"> </w:t>
      </w:r>
      <w:r>
        <w:rPr>
          <w:rFonts w:hint="eastAsia" w:hAnsi="宋体"/>
          <w:bCs/>
          <w:color w:val="auto"/>
          <w:sz w:val="24"/>
        </w:rPr>
        <w:t>响应文件格式》</w:t>
      </w:r>
    </w:p>
    <w:p>
      <w:pPr>
        <w:spacing w:line="360" w:lineRule="auto"/>
        <w:ind w:firstLine="240" w:firstLineChars="100"/>
        <w:rPr>
          <w:rFonts w:hAnsi="宋体"/>
          <w:bCs/>
          <w:color w:val="auto"/>
          <w:sz w:val="24"/>
        </w:rPr>
      </w:pPr>
      <w:r>
        <w:rPr>
          <w:rFonts w:hint="eastAsia" w:hAnsi="宋体"/>
          <w:bCs/>
          <w:color w:val="auto"/>
          <w:sz w:val="24"/>
          <w:lang w:val="en-US" w:eastAsia="zh-CN"/>
        </w:rPr>
        <w:t>4.</w:t>
      </w:r>
      <w:r>
        <w:rPr>
          <w:rFonts w:hint="eastAsia" w:hAnsi="宋体"/>
          <w:bCs/>
          <w:color w:val="auto"/>
          <w:sz w:val="24"/>
        </w:rPr>
        <w:t>供应商须在《第五章</w:t>
      </w:r>
      <w:r>
        <w:rPr>
          <w:rFonts w:hAnsi="宋体"/>
          <w:bCs/>
          <w:color w:val="auto"/>
          <w:sz w:val="24"/>
        </w:rPr>
        <w:t xml:space="preserve"> </w:t>
      </w:r>
      <w:r>
        <w:rPr>
          <w:rFonts w:hint="eastAsia" w:hAnsi="宋体"/>
          <w:bCs/>
          <w:color w:val="auto"/>
          <w:sz w:val="24"/>
        </w:rPr>
        <w:t>询价响应文件格式》“报价分项表”中完整填报所投报的合同包各品目产品的品牌、具体型号、生产产地，否则重大偏离，视为未实质性响应询价通知书要求，投标无效。所投产品无具体型号的，在“备注”栏中说明“无具体型号”。</w:t>
      </w:r>
    </w:p>
    <w:p>
      <w:pPr>
        <w:rPr>
          <w:rFonts w:hAnsi="宋体"/>
          <w:b/>
          <w:bCs/>
          <w:color w:val="auto"/>
          <w:sz w:val="24"/>
        </w:rPr>
      </w:pPr>
      <w:r>
        <w:rPr>
          <w:rFonts w:hAnsi="宋体"/>
          <w:b/>
          <w:bCs/>
          <w:color w:val="auto"/>
          <w:sz w:val="24"/>
        </w:rPr>
        <w:br w:type="page"/>
      </w:r>
    </w:p>
    <w:p>
      <w:pPr>
        <w:rPr>
          <w:rFonts w:hAnsi="宋体"/>
          <w:b/>
          <w:bCs/>
          <w:sz w:val="24"/>
        </w:rPr>
      </w:pPr>
    </w:p>
    <w:p>
      <w:pPr>
        <w:pStyle w:val="4"/>
        <w:numPr>
          <w:ilvl w:val="0"/>
          <w:numId w:val="0"/>
        </w:numPr>
      </w:pPr>
      <w:bookmarkStart w:id="151" w:name="_Toc7513"/>
      <w:bookmarkStart w:id="152" w:name="_Toc9329"/>
      <w:bookmarkStart w:id="153" w:name="_Toc21610"/>
      <w:bookmarkStart w:id="154" w:name="_Toc31833"/>
      <w:r>
        <w:rPr>
          <w:rFonts w:hint="eastAsia"/>
        </w:rPr>
        <w:t>第四章</w:t>
      </w:r>
      <w:r>
        <w:t xml:space="preserve">  </w:t>
      </w:r>
      <w:r>
        <w:rPr>
          <w:rFonts w:hint="eastAsia"/>
        </w:rPr>
        <w:t>采购合同（参考文本）</w:t>
      </w:r>
      <w:bookmarkEnd w:id="151"/>
      <w:bookmarkEnd w:id="152"/>
      <w:bookmarkEnd w:id="153"/>
      <w:bookmarkEnd w:id="154"/>
    </w:p>
    <w:p>
      <w:pPr>
        <w:spacing w:before="120"/>
        <w:ind w:firstLine="720"/>
        <w:rPr>
          <w:rFonts w:ascii="宋体"/>
          <w:sz w:val="24"/>
        </w:rPr>
      </w:pPr>
      <w:r>
        <w:rPr>
          <w:rFonts w:hint="eastAsia" w:ascii="宋体" w:hAnsi="宋体"/>
          <w:sz w:val="24"/>
        </w:rPr>
        <w:t>（正式签订合同同时应根据本项目的实际情况对相关内容进行修改）</w:t>
      </w:r>
    </w:p>
    <w:p>
      <w:pPr>
        <w:spacing w:before="120"/>
        <w:rPr>
          <w:rFonts w:ascii="宋体"/>
          <w:sz w:val="24"/>
        </w:rPr>
      </w:pPr>
    </w:p>
    <w:tbl>
      <w:tblPr>
        <w:tblStyle w:val="30"/>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90" w:type="dxa"/>
            <w:noWrap/>
          </w:tcPr>
          <w:p>
            <w:pPr>
              <w:spacing w:before="120"/>
              <w:ind w:left="105"/>
              <w:rPr>
                <w:rFonts w:ascii="宋体"/>
                <w:sz w:val="24"/>
              </w:rPr>
            </w:pPr>
            <w:r>
              <w:rPr>
                <w:rFonts w:hint="eastAsia" w:ascii="宋体" w:hAnsi="宋体"/>
                <w:sz w:val="24"/>
              </w:rPr>
              <w:t>注释：</w:t>
            </w:r>
            <w:r>
              <w:rPr>
                <w:rFonts w:ascii="宋体" w:hAnsi="宋体"/>
                <w:sz w:val="24"/>
              </w:rPr>
              <w:t xml:space="preserve"> </w:t>
            </w:r>
          </w:p>
          <w:p>
            <w:pPr>
              <w:ind w:firstLine="720"/>
              <w:rPr>
                <w:rFonts w:ascii="宋体"/>
                <w:b/>
                <w:spacing w:val="20"/>
                <w:sz w:val="24"/>
              </w:rPr>
            </w:pPr>
            <w:r>
              <w:rPr>
                <w:rFonts w:hint="eastAsia" w:ascii="宋体" w:hAnsi="宋体"/>
                <w:sz w:val="24"/>
              </w:rPr>
              <w:t>《</w:t>
            </w:r>
            <w:r>
              <w:rPr>
                <w:rFonts w:hint="eastAsia" w:ascii="宋体" w:hAnsi="宋体"/>
                <w:bCs/>
                <w:sz w:val="24"/>
              </w:rPr>
              <w:t>采购合同格式</w:t>
            </w:r>
            <w:r>
              <w:rPr>
                <w:rFonts w:hint="eastAsia" w:ascii="宋体" w:hAnsi="宋体"/>
                <w:sz w:val="24"/>
              </w:rPr>
              <w:t>》，本格式条款仅作为双方签订合同的参考，为阐明各方的权利和义务，经协商可增加新的条款。但不得与询价通知书、询价响应文件的实质性内容相背离。</w:t>
            </w:r>
          </w:p>
          <w:p>
            <w:pPr>
              <w:spacing w:before="120"/>
              <w:ind w:left="105" w:firstLine="480"/>
              <w:rPr>
                <w:rFonts w:ascii="宋体"/>
                <w:sz w:val="24"/>
              </w:rPr>
            </w:pPr>
          </w:p>
        </w:tc>
      </w:tr>
    </w:tbl>
    <w:p>
      <w:pPr>
        <w:spacing w:line="420" w:lineRule="exact"/>
        <w:ind w:left="-284"/>
        <w:rPr>
          <w:rFonts w:ascii="宋体"/>
          <w:sz w:val="24"/>
        </w:rPr>
      </w:pPr>
      <w:r>
        <w:rPr>
          <w:rFonts w:hint="eastAsia" w:ascii="宋体" w:hAnsi="宋体"/>
          <w:sz w:val="24"/>
        </w:rPr>
        <w:t>合同号：</w:t>
      </w:r>
    </w:p>
    <w:p>
      <w:pPr>
        <w:spacing w:line="440" w:lineRule="exact"/>
        <w:rPr>
          <w:rFonts w:ascii="宋体"/>
          <w:sz w:val="24"/>
        </w:rPr>
      </w:pPr>
      <w:r>
        <w:rPr>
          <w:rFonts w:hint="eastAsia" w:ascii="宋体" w:hAnsi="宋体"/>
          <w:sz w:val="24"/>
        </w:rPr>
        <w:t>甲方</w:t>
      </w:r>
      <w:r>
        <w:rPr>
          <w:rFonts w:ascii="宋体" w:hAnsi="宋体"/>
          <w:sz w:val="24"/>
        </w:rPr>
        <w:t>(</w:t>
      </w:r>
      <w:r>
        <w:rPr>
          <w:rFonts w:hint="eastAsia" w:ascii="宋体" w:hAnsi="宋体"/>
          <w:sz w:val="24"/>
        </w:rPr>
        <w:t>采购人</w:t>
      </w:r>
      <w:r>
        <w:rPr>
          <w:rFonts w:ascii="宋体" w:hAnsi="宋体"/>
          <w:sz w:val="24"/>
        </w:rPr>
        <w:t>)</w:t>
      </w:r>
      <w:r>
        <w:rPr>
          <w:rFonts w:hint="eastAsia" w:ascii="宋体" w:hAnsi="宋体"/>
          <w:sz w:val="24"/>
        </w:rPr>
        <w:t>：</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签订地点：</w:t>
      </w:r>
      <w:r>
        <w:rPr>
          <w:rFonts w:ascii="宋体" w:hAnsi="宋体"/>
          <w:sz w:val="24"/>
        </w:rPr>
        <w:t xml:space="preserve">                   </w:t>
      </w:r>
    </w:p>
    <w:p>
      <w:pPr>
        <w:spacing w:line="440" w:lineRule="exact"/>
        <w:rPr>
          <w:rFonts w:ascii="宋体"/>
          <w:sz w:val="24"/>
        </w:rPr>
      </w:pPr>
      <w:r>
        <w:rPr>
          <w:rFonts w:hint="eastAsia" w:ascii="宋体" w:hAnsi="宋体"/>
          <w:sz w:val="24"/>
        </w:rPr>
        <w:t>乙方（成交人）：</w:t>
      </w:r>
      <w:r>
        <w:rPr>
          <w:rFonts w:ascii="宋体" w:hAnsi="宋体"/>
          <w:sz w:val="24"/>
        </w:rPr>
        <w:t xml:space="preserve">                            </w:t>
      </w:r>
      <w:r>
        <w:rPr>
          <w:rFonts w:hint="eastAsia" w:ascii="宋体" w:hAnsi="宋体"/>
          <w:sz w:val="24"/>
        </w:rPr>
        <w:t>签订日期：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40" w:lineRule="exact"/>
        <w:rPr>
          <w:rFonts w:ascii="宋体"/>
          <w:sz w:val="24"/>
        </w:rPr>
      </w:pPr>
      <w:r>
        <w:rPr>
          <w:rFonts w:ascii="宋体" w:hAnsi="宋体"/>
          <w:sz w:val="24"/>
        </w:rPr>
        <w:t xml:space="preserve">    </w:t>
      </w:r>
      <w:r>
        <w:rPr>
          <w:rFonts w:hint="eastAsia" w:ascii="宋体" w:hAnsi="宋体"/>
          <w:sz w:val="24"/>
        </w:rPr>
        <w:t>甲方委托</w:t>
      </w:r>
      <w:r>
        <w:rPr>
          <w:rFonts w:ascii="宋体" w:hAnsi="宋体"/>
          <w:sz w:val="24"/>
        </w:rPr>
        <w:t>(</w:t>
      </w:r>
      <w:r>
        <w:rPr>
          <w:rFonts w:hint="eastAsia" w:ascii="宋体" w:hAnsi="宋体"/>
          <w:sz w:val="24"/>
          <w:u w:val="single"/>
          <w:lang w:eastAsia="zh-CN"/>
        </w:rPr>
        <w:t>龙岩城发工程造价咨询服务有限公司</w:t>
      </w:r>
      <w:r>
        <w:rPr>
          <w:rFonts w:ascii="宋体" w:hAnsi="宋体"/>
          <w:sz w:val="24"/>
        </w:rPr>
        <w:t>)</w:t>
      </w:r>
      <w:r>
        <w:rPr>
          <w:rFonts w:hint="eastAsia" w:ascii="宋体" w:hAnsi="宋体"/>
          <w:sz w:val="24"/>
        </w:rPr>
        <w:t>对进行询价采购（采购编号：）的结果，乙方为成交人，现依照询价通知书、询价响应文件及相关文件的内容，双方达成如下协议：</w:t>
      </w:r>
    </w:p>
    <w:p>
      <w:pPr>
        <w:numPr>
          <w:ilvl w:val="0"/>
          <w:numId w:val="15"/>
        </w:numPr>
        <w:spacing w:line="440" w:lineRule="exact"/>
        <w:rPr>
          <w:rFonts w:ascii="宋体"/>
          <w:sz w:val="24"/>
        </w:rPr>
      </w:pPr>
      <w:r>
        <w:rPr>
          <w:rFonts w:hint="eastAsia" w:ascii="宋体" w:hAnsi="宋体"/>
          <w:sz w:val="24"/>
        </w:rPr>
        <w:t>合同标的和合同价格</w:t>
      </w:r>
    </w:p>
    <w:p>
      <w:pPr>
        <w:pStyle w:val="26"/>
        <w:spacing w:before="75" w:beforeAutospacing="0" w:after="75" w:afterAutospacing="0" w:line="400" w:lineRule="exact"/>
        <w:ind w:firstLine="480"/>
        <w:rPr>
          <w:sz w:val="27"/>
          <w:szCs w:val="27"/>
        </w:rPr>
      </w:pPr>
      <w:r>
        <w:rPr>
          <w:rFonts w:hint="eastAsia"/>
        </w:rPr>
        <w:t>（</w:t>
      </w:r>
      <w:r>
        <w:rPr>
          <w:rFonts w:hint="eastAsia"/>
          <w:u w:val="single"/>
        </w:rPr>
        <w:t>按照实际情况编制填写，可以是表格或文字描述）</w:t>
      </w:r>
      <w:r>
        <w:rPr>
          <w:rFonts w:hint="eastAsia"/>
        </w:rPr>
        <w:t>。</w:t>
      </w:r>
    </w:p>
    <w:p>
      <w:pPr>
        <w:spacing w:line="440" w:lineRule="exact"/>
        <w:rPr>
          <w:rFonts w:ascii="宋体"/>
          <w:sz w:val="24"/>
        </w:rPr>
      </w:pPr>
      <w:r>
        <w:rPr>
          <w:rFonts w:ascii="宋体" w:hAnsi="宋体"/>
          <w:sz w:val="24"/>
        </w:rPr>
        <w:t>2</w:t>
      </w:r>
      <w:r>
        <w:rPr>
          <w:rFonts w:hint="eastAsia" w:ascii="宋体" w:hAnsi="宋体"/>
          <w:sz w:val="24"/>
        </w:rPr>
        <w:t>、交货方式和交货地点</w:t>
      </w:r>
    </w:p>
    <w:p>
      <w:pPr>
        <w:spacing w:line="440" w:lineRule="exact"/>
        <w:ind w:firstLine="480"/>
        <w:rPr>
          <w:rFonts w:ascii="宋体"/>
          <w:sz w:val="24"/>
          <w:u w:val="single"/>
        </w:rPr>
      </w:pPr>
      <w:r>
        <w:rPr>
          <w:rFonts w:ascii="宋体" w:hAnsi="宋体"/>
          <w:sz w:val="24"/>
        </w:rPr>
        <w:t>2.1</w:t>
      </w:r>
      <w:r>
        <w:rPr>
          <w:rFonts w:hint="eastAsia" w:ascii="宋体" w:hAnsi="宋体"/>
          <w:sz w:val="24"/>
        </w:rPr>
        <w:t>交货</w:t>
      </w:r>
      <w:r>
        <w:rPr>
          <w:rFonts w:hint="eastAsia" w:ascii="宋体" w:hAnsi="宋体"/>
          <w:color w:val="auto"/>
          <w:sz w:val="24"/>
        </w:rPr>
        <w:t>方式：</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lang w:eastAsia="zh-CN"/>
        </w:rPr>
        <w:t>合同签订生效之日起15个日历日交货</w:t>
      </w:r>
      <w:r>
        <w:rPr>
          <w:rFonts w:hint="eastAsia" w:ascii="宋体" w:hAnsi="宋体"/>
          <w:sz w:val="24"/>
          <w:u w:val="single"/>
        </w:rPr>
        <w:t>。</w:t>
      </w:r>
      <w:r>
        <w:rPr>
          <w:rFonts w:ascii="宋体" w:hAnsi="宋体"/>
          <w:sz w:val="24"/>
          <w:u w:val="single"/>
        </w:rPr>
        <w:t xml:space="preserve">  </w:t>
      </w:r>
    </w:p>
    <w:p>
      <w:pPr>
        <w:spacing w:line="440" w:lineRule="exact"/>
        <w:ind w:firstLine="480"/>
        <w:rPr>
          <w:rFonts w:ascii="宋体"/>
          <w:sz w:val="24"/>
        </w:rPr>
      </w:pPr>
      <w:r>
        <w:rPr>
          <w:rFonts w:ascii="宋体" w:hAnsi="宋体"/>
          <w:sz w:val="24"/>
        </w:rPr>
        <w:t>2.2</w:t>
      </w:r>
      <w:r>
        <w:rPr>
          <w:rFonts w:hint="eastAsia" w:ascii="宋体" w:hAnsi="宋体"/>
          <w:sz w:val="24"/>
        </w:rPr>
        <w:t>交货地点：</w:t>
      </w:r>
      <w:r>
        <w:rPr>
          <w:rFonts w:ascii="宋体" w:hAnsi="宋体"/>
          <w:sz w:val="24"/>
          <w:u w:val="single"/>
        </w:rPr>
        <w:t xml:space="preserve">  </w:t>
      </w:r>
      <w:r>
        <w:rPr>
          <w:rFonts w:hint="eastAsia" w:ascii="宋体" w:hAnsi="宋体"/>
          <w:sz w:val="24"/>
          <w:u w:val="single"/>
        </w:rPr>
        <w:t>采购单位指定地点</w:t>
      </w:r>
      <w:r>
        <w:rPr>
          <w:rFonts w:ascii="宋体" w:hAnsi="宋体"/>
          <w:sz w:val="24"/>
          <w:u w:val="single"/>
        </w:rPr>
        <w:t xml:space="preserve"> </w:t>
      </w:r>
    </w:p>
    <w:p>
      <w:pPr>
        <w:spacing w:line="440" w:lineRule="exact"/>
        <w:rPr>
          <w:rFonts w:ascii="宋体"/>
          <w:sz w:val="24"/>
        </w:rPr>
      </w:pPr>
      <w:r>
        <w:rPr>
          <w:rFonts w:ascii="宋体" w:hAnsi="宋体"/>
          <w:sz w:val="24"/>
        </w:rPr>
        <w:t>3</w:t>
      </w:r>
      <w:r>
        <w:rPr>
          <w:rFonts w:hint="eastAsia" w:ascii="宋体" w:hAnsi="宋体"/>
          <w:sz w:val="24"/>
        </w:rPr>
        <w:t>、供货清单</w:t>
      </w:r>
    </w:p>
    <w:p>
      <w:pPr>
        <w:spacing w:line="440" w:lineRule="exact"/>
        <w:rPr>
          <w:rFonts w:ascii="宋体"/>
          <w:sz w:val="24"/>
        </w:rPr>
      </w:pPr>
      <w:r>
        <w:rPr>
          <w:rFonts w:ascii="宋体" w:hAnsi="宋体"/>
          <w:sz w:val="24"/>
        </w:rPr>
        <w:t>3.1</w:t>
      </w:r>
      <w:r>
        <w:rPr>
          <w:rFonts w:hint="eastAsia" w:ascii="宋体" w:hAnsi="宋体"/>
          <w:sz w:val="24"/>
        </w:rPr>
        <w:t>供货清单：包括产品、随机备品备件、专用工具的名称及数量。（采购人对包装及运输有特别要求的，应作具体约定。）</w:t>
      </w:r>
    </w:p>
    <w:p>
      <w:pPr>
        <w:spacing w:line="440" w:lineRule="exact"/>
        <w:rPr>
          <w:rFonts w:ascii="宋体"/>
          <w:color w:val="auto"/>
          <w:sz w:val="24"/>
        </w:rPr>
      </w:pPr>
      <w:r>
        <w:rPr>
          <w:rFonts w:ascii="宋体" w:hAnsi="宋体"/>
          <w:sz w:val="24"/>
        </w:rPr>
        <w:t>4</w:t>
      </w:r>
      <w:r>
        <w:rPr>
          <w:rFonts w:hint="eastAsia" w:ascii="宋体" w:hAnsi="宋体"/>
          <w:color w:val="auto"/>
          <w:sz w:val="24"/>
        </w:rPr>
        <w:t>、付款方式与条件</w:t>
      </w:r>
    </w:p>
    <w:p>
      <w:pPr>
        <w:spacing w:line="440" w:lineRule="exact"/>
        <w:rPr>
          <w:rFonts w:ascii="宋体"/>
          <w:color w:val="auto"/>
          <w:sz w:val="24"/>
        </w:rPr>
      </w:pPr>
      <w:r>
        <w:rPr>
          <w:rFonts w:ascii="宋体" w:hAnsi="宋体"/>
          <w:color w:val="auto"/>
          <w:sz w:val="24"/>
        </w:rPr>
        <w:t xml:space="preserve">  4.1</w:t>
      </w:r>
      <w:r>
        <w:rPr>
          <w:rFonts w:hint="eastAsia" w:ascii="宋体" w:hAnsi="宋体"/>
          <w:color w:val="auto"/>
          <w:sz w:val="24"/>
        </w:rPr>
        <w:t>货物交货付款</w:t>
      </w:r>
    </w:p>
    <w:p>
      <w:pPr>
        <w:spacing w:line="360" w:lineRule="auto"/>
        <w:ind w:firstLine="240" w:firstLineChars="100"/>
        <w:rPr>
          <w:rFonts w:hint="eastAsia" w:hAnsi="宋体"/>
          <w:color w:val="auto"/>
          <w:sz w:val="24"/>
        </w:rPr>
      </w:pPr>
      <w:r>
        <w:rPr>
          <w:rFonts w:hint="eastAsia" w:ascii="宋体" w:hAnsi="宋体"/>
          <w:color w:val="auto"/>
          <w:sz w:val="24"/>
          <w:lang w:val="en-US" w:eastAsia="zh-CN"/>
        </w:rPr>
        <w:t>4.1.1系统</w:t>
      </w:r>
      <w:r>
        <w:rPr>
          <w:rFonts w:hint="eastAsia" w:hAnsi="宋体"/>
          <w:color w:val="auto"/>
          <w:sz w:val="24"/>
        </w:rPr>
        <w:t>付款方式：</w:t>
      </w:r>
    </w:p>
    <w:p>
      <w:pPr>
        <w:spacing w:line="460" w:lineRule="exact"/>
        <w:ind w:firstLine="240" w:firstLineChars="10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①设备材料全部到货并开箱验收合格后5</w:t>
      </w:r>
      <w:r>
        <w:rPr>
          <w:rFonts w:hint="eastAsia" w:asciiTheme="majorEastAsia" w:hAnsiTheme="majorEastAsia" w:eastAsiaTheme="majorEastAsia" w:cstheme="majorEastAsia"/>
          <w:color w:val="auto"/>
          <w:sz w:val="24"/>
          <w:szCs w:val="24"/>
          <w:lang w:val="en-US" w:eastAsia="zh-CN"/>
        </w:rPr>
        <w:t>个工作</w:t>
      </w:r>
      <w:r>
        <w:rPr>
          <w:rFonts w:hint="eastAsia" w:asciiTheme="majorEastAsia" w:hAnsiTheme="majorEastAsia" w:eastAsiaTheme="majorEastAsia" w:cstheme="majorEastAsia"/>
          <w:color w:val="auto"/>
          <w:sz w:val="24"/>
          <w:szCs w:val="24"/>
        </w:rPr>
        <w:t>日内支付总设备款8</w:t>
      </w:r>
      <w:r>
        <w:rPr>
          <w:rFonts w:hint="eastAsia" w:asciiTheme="majorEastAsia" w:hAnsiTheme="majorEastAsia" w:eastAsiaTheme="majorEastAsia" w:cstheme="majorEastAsia"/>
          <w:color w:val="auto"/>
          <w:sz w:val="24"/>
          <w:szCs w:val="24"/>
          <w:lang w:val="en-US" w:eastAsia="zh-CN"/>
        </w:rPr>
        <w:t>5</w:t>
      </w:r>
      <w:r>
        <w:rPr>
          <w:rFonts w:hint="eastAsia" w:asciiTheme="majorEastAsia" w:hAnsiTheme="majorEastAsia" w:eastAsiaTheme="majorEastAsia" w:cstheme="majorEastAsia"/>
          <w:color w:val="auto"/>
          <w:sz w:val="24"/>
          <w:szCs w:val="24"/>
        </w:rPr>
        <w:t>%；</w:t>
      </w:r>
    </w:p>
    <w:p>
      <w:pPr>
        <w:pStyle w:val="18"/>
        <w:spacing w:line="460" w:lineRule="exact"/>
        <w:ind w:left="230" w:hanging="1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②设备材料进行安装</w:t>
      </w:r>
      <w:r>
        <w:rPr>
          <w:rFonts w:hint="eastAsia" w:asciiTheme="majorEastAsia" w:hAnsiTheme="majorEastAsia" w:eastAsiaTheme="majorEastAsia" w:cstheme="majorEastAsia"/>
          <w:color w:val="auto"/>
          <w:sz w:val="24"/>
          <w:szCs w:val="24"/>
          <w:lang w:val="en-US" w:eastAsia="zh-CN"/>
        </w:rPr>
        <w:t>调试</w:t>
      </w:r>
      <w:r>
        <w:rPr>
          <w:rFonts w:hint="eastAsia" w:asciiTheme="majorEastAsia" w:hAnsiTheme="majorEastAsia" w:eastAsiaTheme="majorEastAsia" w:cstheme="majorEastAsia"/>
          <w:color w:val="auto"/>
          <w:sz w:val="24"/>
          <w:szCs w:val="24"/>
        </w:rPr>
        <w:t>后，乙方配合调试完毕并经甲方验收合格后5</w:t>
      </w:r>
      <w:r>
        <w:rPr>
          <w:rFonts w:hint="eastAsia" w:asciiTheme="majorEastAsia" w:hAnsiTheme="majorEastAsia" w:eastAsiaTheme="majorEastAsia" w:cstheme="majorEastAsia"/>
          <w:color w:val="auto"/>
          <w:sz w:val="24"/>
          <w:szCs w:val="24"/>
          <w:lang w:val="en-US" w:eastAsia="zh-CN"/>
        </w:rPr>
        <w:t>个工作</w:t>
      </w:r>
      <w:r>
        <w:rPr>
          <w:rFonts w:hint="eastAsia" w:asciiTheme="majorEastAsia" w:hAnsiTheme="majorEastAsia" w:eastAsiaTheme="majorEastAsia" w:cstheme="majorEastAsia"/>
          <w:color w:val="auto"/>
          <w:sz w:val="24"/>
          <w:szCs w:val="24"/>
        </w:rPr>
        <w:t>日内支付至总设备款的97%；</w:t>
      </w:r>
    </w:p>
    <w:p>
      <w:pPr>
        <w:spacing w:line="460" w:lineRule="exact"/>
        <w:ind w:firstLine="240" w:firstLineChars="100"/>
        <w:jc w:val="both"/>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③设备余款3%作为质保金，质保期满后支付设备余款。</w:t>
      </w:r>
    </w:p>
    <w:p>
      <w:pPr>
        <w:spacing w:line="440" w:lineRule="exact"/>
        <w:ind w:firstLine="240" w:firstLineChars="100"/>
        <w:rPr>
          <w:rFonts w:ascii="宋体"/>
          <w:color w:val="auto"/>
          <w:sz w:val="24"/>
        </w:rPr>
      </w:pPr>
      <w:r>
        <w:rPr>
          <w:rFonts w:hint="eastAsia" w:ascii="宋体" w:hAnsi="宋体"/>
          <w:color w:val="auto"/>
          <w:sz w:val="24"/>
          <w:lang w:val="en-US" w:eastAsia="zh-CN"/>
        </w:rPr>
        <w:t>4.2</w:t>
      </w:r>
      <w:r>
        <w:rPr>
          <w:rFonts w:hint="eastAsia" w:ascii="宋体" w:hAnsi="宋体"/>
          <w:color w:val="auto"/>
          <w:sz w:val="24"/>
        </w:rPr>
        <w:t>乙方要求付款应提交下列单证和文件。</w:t>
      </w:r>
    </w:p>
    <w:p>
      <w:pPr>
        <w:spacing w:line="440" w:lineRule="exact"/>
        <w:ind w:firstLine="240" w:firstLineChars="100"/>
        <w:rPr>
          <w:rFonts w:ascii="宋体"/>
          <w:color w:val="auto"/>
          <w:sz w:val="24"/>
        </w:rPr>
      </w:pPr>
      <w:r>
        <w:rPr>
          <w:rFonts w:ascii="宋体" w:hAnsi="宋体"/>
          <w:color w:val="auto"/>
          <w:sz w:val="24"/>
        </w:rPr>
        <w:t>a.</w:t>
      </w:r>
      <w:r>
        <w:rPr>
          <w:rFonts w:hint="eastAsia" w:ascii="宋体" w:hAnsi="宋体"/>
          <w:color w:val="auto"/>
          <w:sz w:val="24"/>
        </w:rPr>
        <w:t>提供与进度款同等金额的增值税</w:t>
      </w:r>
      <w:r>
        <w:rPr>
          <w:rFonts w:hint="eastAsia" w:ascii="宋体" w:hAnsi="宋体"/>
          <w:color w:val="auto"/>
          <w:sz w:val="24"/>
          <w:lang w:eastAsia="zh-CN"/>
        </w:rPr>
        <w:t>专用</w:t>
      </w:r>
      <w:r>
        <w:rPr>
          <w:rFonts w:hint="eastAsia" w:ascii="宋体" w:hAnsi="宋体"/>
          <w:color w:val="auto"/>
          <w:sz w:val="24"/>
        </w:rPr>
        <w:t>发票。（最终验收合格申请付款时提交的发票额应提交至合同总价的</w:t>
      </w:r>
      <w:r>
        <w:rPr>
          <w:rFonts w:ascii="宋体" w:hAnsi="宋体"/>
          <w:color w:val="auto"/>
          <w:sz w:val="24"/>
        </w:rPr>
        <w:t>100%</w:t>
      </w:r>
      <w:r>
        <w:rPr>
          <w:rFonts w:hint="eastAsia" w:ascii="宋体" w:hAnsi="宋体"/>
          <w:color w:val="auto"/>
          <w:sz w:val="24"/>
        </w:rPr>
        <w:t>）。</w:t>
      </w:r>
    </w:p>
    <w:p>
      <w:pPr>
        <w:spacing w:line="440" w:lineRule="exact"/>
        <w:ind w:firstLine="240" w:firstLineChars="100"/>
        <w:rPr>
          <w:rFonts w:ascii="宋体"/>
          <w:color w:val="auto"/>
          <w:sz w:val="24"/>
        </w:rPr>
      </w:pPr>
      <w:r>
        <w:rPr>
          <w:rFonts w:ascii="宋体" w:hAnsi="宋体"/>
          <w:color w:val="auto"/>
          <w:sz w:val="24"/>
        </w:rPr>
        <w:t>b.</w:t>
      </w:r>
      <w:r>
        <w:rPr>
          <w:rFonts w:hint="eastAsia" w:ascii="宋体" w:hAnsi="宋体"/>
          <w:color w:val="auto"/>
          <w:sz w:val="24"/>
        </w:rPr>
        <w:t>制造厂家出具的货物质量合格证书。</w:t>
      </w:r>
    </w:p>
    <w:p>
      <w:pPr>
        <w:spacing w:line="440" w:lineRule="exact"/>
        <w:ind w:firstLine="240" w:firstLineChars="100"/>
        <w:rPr>
          <w:rFonts w:ascii="宋体"/>
          <w:color w:val="auto"/>
          <w:sz w:val="24"/>
        </w:rPr>
      </w:pPr>
      <w:r>
        <w:rPr>
          <w:rFonts w:ascii="宋体" w:hAnsi="宋体"/>
          <w:color w:val="auto"/>
          <w:sz w:val="24"/>
        </w:rPr>
        <w:t xml:space="preserve">c. </w:t>
      </w:r>
      <w:r>
        <w:rPr>
          <w:rFonts w:hint="eastAsia" w:ascii="宋体" w:hAnsi="宋体"/>
          <w:color w:val="auto"/>
          <w:sz w:val="24"/>
        </w:rPr>
        <w:t>甲方已收讫货物的验收凭证。</w:t>
      </w:r>
    </w:p>
    <w:p>
      <w:pPr>
        <w:spacing w:line="440" w:lineRule="exact"/>
        <w:ind w:firstLine="240" w:firstLineChars="100"/>
        <w:rPr>
          <w:rFonts w:ascii="宋体"/>
          <w:color w:val="auto"/>
          <w:sz w:val="24"/>
        </w:rPr>
      </w:pPr>
      <w:r>
        <w:rPr>
          <w:rFonts w:ascii="宋体" w:hAnsi="宋体"/>
          <w:color w:val="auto"/>
          <w:sz w:val="24"/>
        </w:rPr>
        <w:t xml:space="preserve">d. </w:t>
      </w:r>
      <w:r>
        <w:rPr>
          <w:rFonts w:hint="eastAsia" w:ascii="宋体" w:hAnsi="宋体"/>
          <w:color w:val="auto"/>
          <w:sz w:val="24"/>
        </w:rPr>
        <w:t>甲方签发的验收合格文件。</w:t>
      </w:r>
    </w:p>
    <w:p>
      <w:pPr>
        <w:spacing w:line="440" w:lineRule="exact"/>
        <w:rPr>
          <w:rFonts w:ascii="宋体"/>
          <w:color w:val="auto"/>
          <w:sz w:val="24"/>
        </w:rPr>
      </w:pPr>
      <w:r>
        <w:rPr>
          <w:rFonts w:ascii="宋体" w:hAnsi="宋体"/>
          <w:color w:val="auto"/>
          <w:sz w:val="24"/>
        </w:rPr>
        <w:t>5</w:t>
      </w:r>
      <w:r>
        <w:rPr>
          <w:rFonts w:hint="eastAsia" w:ascii="宋体" w:hAnsi="宋体"/>
          <w:color w:val="auto"/>
          <w:sz w:val="24"/>
        </w:rPr>
        <w:t>、质量要求和技术标准</w:t>
      </w:r>
    </w:p>
    <w:p>
      <w:pPr>
        <w:pStyle w:val="26"/>
        <w:spacing w:before="75" w:beforeAutospacing="0" w:after="75" w:afterAutospacing="0" w:line="400" w:lineRule="exact"/>
        <w:ind w:firstLine="480"/>
        <w:rPr>
          <w:color w:val="auto"/>
        </w:rPr>
      </w:pPr>
      <w:r>
        <w:rPr>
          <w:rFonts w:hint="eastAsia"/>
          <w:color w:val="auto"/>
          <w:u w:val="single"/>
        </w:rPr>
        <w:t>（按照实际情况编制填写，可以是表格或文字描述）</w:t>
      </w:r>
      <w:r>
        <w:rPr>
          <w:rFonts w:hint="eastAsia"/>
          <w:color w:val="auto"/>
        </w:rPr>
        <w:t>。</w:t>
      </w:r>
    </w:p>
    <w:p>
      <w:pPr>
        <w:pStyle w:val="17"/>
        <w:spacing w:line="360" w:lineRule="auto"/>
        <w:jc w:val="left"/>
        <w:outlineLvl w:val="1"/>
        <w:rPr>
          <w:rFonts w:hAnsi="宋体"/>
          <w:bCs/>
          <w:color w:val="auto"/>
          <w:sz w:val="24"/>
        </w:rPr>
      </w:pPr>
      <w:bookmarkStart w:id="155" w:name="_Toc23661"/>
      <w:bookmarkStart w:id="156" w:name="_Toc20223"/>
      <w:r>
        <w:rPr>
          <w:rFonts w:hint="eastAsia" w:hAnsi="宋体"/>
          <w:bCs/>
          <w:color w:val="auto"/>
          <w:sz w:val="24"/>
        </w:rPr>
        <w:t>6、货物包装方式</w:t>
      </w:r>
      <w:bookmarkEnd w:id="155"/>
      <w:bookmarkEnd w:id="156"/>
    </w:p>
    <w:p>
      <w:pPr>
        <w:pStyle w:val="17"/>
        <w:spacing w:line="360" w:lineRule="auto"/>
        <w:ind w:firstLine="240" w:firstLineChars="100"/>
        <w:jc w:val="left"/>
        <w:outlineLvl w:val="1"/>
        <w:rPr>
          <w:rFonts w:hAnsi="宋体"/>
          <w:bCs/>
          <w:color w:val="auto"/>
          <w:sz w:val="24"/>
        </w:rPr>
      </w:pPr>
      <w:bookmarkStart w:id="157" w:name="_Toc6609"/>
      <w:bookmarkStart w:id="158" w:name="_Toc18846"/>
      <w:r>
        <w:rPr>
          <w:rFonts w:hint="eastAsia" w:hAnsi="宋体"/>
          <w:bCs/>
          <w:color w:val="auto"/>
          <w:sz w:val="24"/>
        </w:rPr>
        <w:t>6.1包装：货物交货时应按国家有关标准要求进行包装。</w:t>
      </w:r>
      <w:bookmarkEnd w:id="157"/>
      <w:bookmarkEnd w:id="158"/>
    </w:p>
    <w:p>
      <w:pPr>
        <w:pStyle w:val="17"/>
        <w:spacing w:line="360" w:lineRule="auto"/>
        <w:ind w:firstLine="240" w:firstLineChars="100"/>
        <w:jc w:val="left"/>
        <w:outlineLvl w:val="1"/>
        <w:rPr>
          <w:rFonts w:hAnsi="宋体"/>
          <w:bCs/>
          <w:color w:val="auto"/>
          <w:sz w:val="24"/>
        </w:rPr>
      </w:pPr>
      <w:bookmarkStart w:id="159" w:name="_Toc9867"/>
      <w:bookmarkStart w:id="160" w:name="_Toc7553"/>
      <w:r>
        <w:rPr>
          <w:rFonts w:hint="eastAsia" w:hAnsi="宋体"/>
          <w:bCs/>
          <w:color w:val="auto"/>
          <w:sz w:val="24"/>
        </w:rPr>
        <w:t>6.2方式：包装必须与运输方式相适应，包装方式的确定及包装费用均由乙方负责；由于不适当的包装而造成货物在运输过程中有任何损坏由乙方负责。</w:t>
      </w:r>
      <w:bookmarkEnd w:id="159"/>
      <w:bookmarkEnd w:id="160"/>
    </w:p>
    <w:p>
      <w:pPr>
        <w:pStyle w:val="17"/>
        <w:spacing w:line="360" w:lineRule="auto"/>
        <w:ind w:firstLine="240" w:firstLineChars="100"/>
        <w:jc w:val="left"/>
        <w:outlineLvl w:val="1"/>
        <w:rPr>
          <w:rFonts w:hAnsi="宋体"/>
          <w:bCs/>
          <w:color w:val="auto"/>
          <w:sz w:val="24"/>
        </w:rPr>
      </w:pPr>
      <w:bookmarkStart w:id="161" w:name="_Toc4825"/>
      <w:bookmarkStart w:id="162" w:name="_Toc17479"/>
      <w:r>
        <w:rPr>
          <w:rFonts w:hint="eastAsia" w:hAnsi="宋体"/>
          <w:bCs/>
          <w:color w:val="auto"/>
          <w:sz w:val="24"/>
        </w:rPr>
        <w:t>注：包装应足以承受整个过程中的运输、转运、装卸、储存等，充分考虑到运输途中的各种情况(如暴露于恶劣气候等)和项目所在地的气候特点，以及露天存放的需要。</w:t>
      </w:r>
      <w:bookmarkEnd w:id="161"/>
      <w:bookmarkEnd w:id="162"/>
    </w:p>
    <w:p>
      <w:pPr>
        <w:pStyle w:val="17"/>
        <w:spacing w:line="360" w:lineRule="auto"/>
        <w:jc w:val="left"/>
        <w:outlineLvl w:val="1"/>
        <w:rPr>
          <w:rFonts w:hAnsi="宋体"/>
          <w:bCs/>
          <w:color w:val="auto"/>
          <w:sz w:val="24"/>
        </w:rPr>
      </w:pPr>
      <w:bookmarkStart w:id="163" w:name="_Toc13036"/>
      <w:bookmarkStart w:id="164" w:name="_Toc24466"/>
      <w:r>
        <w:rPr>
          <w:rFonts w:hint="eastAsia" w:hAnsi="宋体"/>
          <w:bCs/>
          <w:color w:val="auto"/>
          <w:sz w:val="24"/>
        </w:rPr>
        <w:t>7、</w:t>
      </w:r>
      <w:r>
        <w:rPr>
          <w:rFonts w:hint="eastAsia" w:hAnsi="宋体"/>
          <w:bCs/>
          <w:color w:val="auto"/>
          <w:sz w:val="24"/>
          <w:lang w:val="en-US" w:eastAsia="zh-CN"/>
        </w:rPr>
        <w:t>施工安装、</w:t>
      </w:r>
      <w:r>
        <w:rPr>
          <w:rFonts w:hint="eastAsia" w:hAnsi="宋体"/>
          <w:bCs/>
          <w:color w:val="auto"/>
          <w:sz w:val="24"/>
        </w:rPr>
        <w:t>调试及验收</w:t>
      </w:r>
      <w:bookmarkEnd w:id="163"/>
      <w:bookmarkEnd w:id="164"/>
    </w:p>
    <w:p>
      <w:pPr>
        <w:pStyle w:val="17"/>
        <w:spacing w:line="360" w:lineRule="auto"/>
        <w:ind w:firstLine="240" w:firstLineChars="100"/>
        <w:jc w:val="left"/>
        <w:outlineLvl w:val="1"/>
        <w:rPr>
          <w:rFonts w:hint="default" w:hAnsi="宋体" w:eastAsia="宋体"/>
          <w:bCs/>
          <w:color w:val="auto"/>
          <w:sz w:val="24"/>
          <w:lang w:val="en-US" w:eastAsia="zh-CN"/>
        </w:rPr>
      </w:pPr>
      <w:bookmarkStart w:id="165" w:name="_Toc14860"/>
      <w:bookmarkStart w:id="166" w:name="_Toc3698"/>
      <w:r>
        <w:rPr>
          <w:rFonts w:hint="eastAsia" w:hAnsi="宋体"/>
          <w:bCs/>
          <w:color w:val="auto"/>
          <w:sz w:val="24"/>
          <w:lang w:val="en-US" w:eastAsia="zh-CN"/>
        </w:rPr>
        <w:t>7</w:t>
      </w:r>
      <w:r>
        <w:rPr>
          <w:rFonts w:hint="eastAsia" w:hAnsi="宋体"/>
          <w:bCs/>
          <w:color w:val="auto"/>
          <w:sz w:val="24"/>
        </w:rPr>
        <w:t>.1</w:t>
      </w:r>
      <w:r>
        <w:rPr>
          <w:rFonts w:hint="eastAsia" w:hAnsi="宋体"/>
          <w:bCs/>
          <w:color w:val="auto"/>
          <w:sz w:val="24"/>
          <w:lang w:val="en-US" w:eastAsia="zh-CN"/>
        </w:rPr>
        <w:t>施工</w:t>
      </w:r>
      <w:r>
        <w:rPr>
          <w:rFonts w:hint="eastAsia" w:hAnsi="宋体"/>
          <w:bCs/>
          <w:color w:val="auto"/>
          <w:sz w:val="24"/>
        </w:rPr>
        <w:t>安装</w:t>
      </w:r>
      <w:r>
        <w:rPr>
          <w:rFonts w:hint="eastAsia" w:hAnsi="宋体"/>
          <w:bCs/>
          <w:color w:val="auto"/>
          <w:sz w:val="24"/>
          <w:lang w:eastAsia="zh-CN"/>
        </w:rPr>
        <w:t>、</w:t>
      </w:r>
      <w:r>
        <w:rPr>
          <w:rFonts w:hint="eastAsia" w:hAnsi="宋体"/>
          <w:bCs/>
          <w:color w:val="auto"/>
          <w:sz w:val="24"/>
          <w:lang w:val="en-US" w:eastAsia="zh-CN"/>
        </w:rPr>
        <w:t>调试</w:t>
      </w:r>
      <w:bookmarkEnd w:id="165"/>
    </w:p>
    <w:p>
      <w:pPr>
        <w:pStyle w:val="17"/>
        <w:spacing w:line="360" w:lineRule="auto"/>
        <w:ind w:firstLine="240" w:firstLineChars="100"/>
        <w:jc w:val="left"/>
        <w:outlineLvl w:val="1"/>
        <w:rPr>
          <w:rFonts w:hAnsi="宋体"/>
          <w:bCs/>
          <w:color w:val="auto"/>
          <w:sz w:val="24"/>
        </w:rPr>
      </w:pPr>
      <w:bookmarkStart w:id="167" w:name="_Toc21506"/>
      <w:r>
        <w:rPr>
          <w:rFonts w:hint="eastAsia" w:hAnsi="宋体"/>
          <w:bCs/>
          <w:color w:val="auto"/>
          <w:sz w:val="24"/>
          <w:lang w:val="en-US" w:eastAsia="zh-CN"/>
        </w:rPr>
        <w:t>7</w:t>
      </w:r>
      <w:r>
        <w:rPr>
          <w:rFonts w:hint="eastAsia" w:hAnsi="宋体"/>
          <w:bCs/>
          <w:color w:val="auto"/>
          <w:sz w:val="24"/>
        </w:rPr>
        <w:t>.1.1合同签订后，</w:t>
      </w:r>
      <w:r>
        <w:rPr>
          <w:rFonts w:hint="eastAsia" w:hAnsi="宋体"/>
          <w:bCs/>
          <w:color w:val="auto"/>
          <w:sz w:val="24"/>
          <w:lang w:val="en-US" w:eastAsia="zh-CN"/>
        </w:rPr>
        <w:t>乙方</w:t>
      </w:r>
      <w:r>
        <w:rPr>
          <w:rFonts w:hint="eastAsia" w:hAnsi="宋体"/>
          <w:bCs/>
          <w:color w:val="auto"/>
          <w:sz w:val="24"/>
        </w:rPr>
        <w:t>须将</w:t>
      </w:r>
      <w:r>
        <w:rPr>
          <w:rFonts w:hint="eastAsia" w:hAnsi="宋体"/>
          <w:bCs/>
          <w:color w:val="auto"/>
          <w:sz w:val="24"/>
          <w:lang w:val="en-US" w:eastAsia="zh-CN"/>
        </w:rPr>
        <w:t>施工</w:t>
      </w:r>
      <w:r>
        <w:rPr>
          <w:rFonts w:hint="eastAsia" w:hAnsi="宋体"/>
          <w:bCs/>
          <w:color w:val="auto"/>
          <w:sz w:val="24"/>
        </w:rPr>
        <w:t>安装所须要求和水、电、气要求通知</w:t>
      </w:r>
      <w:r>
        <w:rPr>
          <w:rFonts w:hint="eastAsia" w:hAnsi="宋体"/>
          <w:bCs/>
          <w:color w:val="auto"/>
          <w:sz w:val="24"/>
          <w:lang w:val="en-US" w:eastAsia="zh-CN"/>
        </w:rPr>
        <w:t>甲方</w:t>
      </w:r>
      <w:r>
        <w:rPr>
          <w:rFonts w:hint="eastAsia" w:hAnsi="宋体"/>
          <w:bCs/>
          <w:color w:val="auto"/>
          <w:sz w:val="24"/>
        </w:rPr>
        <w:t>。</w:t>
      </w:r>
      <w:bookmarkEnd w:id="167"/>
    </w:p>
    <w:p>
      <w:pPr>
        <w:pStyle w:val="17"/>
        <w:spacing w:line="360" w:lineRule="auto"/>
        <w:ind w:firstLine="240" w:firstLineChars="100"/>
        <w:jc w:val="left"/>
        <w:outlineLvl w:val="1"/>
        <w:rPr>
          <w:rFonts w:hAnsi="宋体"/>
          <w:bCs/>
          <w:color w:val="auto"/>
          <w:sz w:val="24"/>
        </w:rPr>
      </w:pPr>
      <w:bookmarkStart w:id="168" w:name="_Toc16031"/>
      <w:r>
        <w:rPr>
          <w:rFonts w:hint="eastAsia" w:hAnsi="宋体"/>
          <w:bCs/>
          <w:color w:val="auto"/>
          <w:sz w:val="24"/>
          <w:lang w:val="en-US" w:eastAsia="zh-CN"/>
        </w:rPr>
        <w:t>7</w:t>
      </w:r>
      <w:r>
        <w:rPr>
          <w:rFonts w:hint="eastAsia" w:hAnsi="宋体"/>
          <w:bCs/>
          <w:color w:val="auto"/>
          <w:sz w:val="24"/>
        </w:rPr>
        <w:t>.1.2由</w:t>
      </w:r>
      <w:r>
        <w:rPr>
          <w:rFonts w:hint="eastAsia" w:hAnsi="宋体"/>
          <w:bCs/>
          <w:color w:val="auto"/>
          <w:sz w:val="24"/>
          <w:lang w:val="en-US" w:eastAsia="zh-CN"/>
        </w:rPr>
        <w:t>乙方</w:t>
      </w:r>
      <w:r>
        <w:rPr>
          <w:rFonts w:hint="eastAsia" w:hAnsi="宋体"/>
          <w:bCs/>
          <w:color w:val="auto"/>
          <w:sz w:val="24"/>
        </w:rPr>
        <w:t>负责将设备按签订合同的具体数量、具体地点运送到最终目的地，</w:t>
      </w:r>
      <w:r>
        <w:rPr>
          <w:rFonts w:hint="eastAsia" w:hAnsi="宋体"/>
          <w:bCs/>
          <w:color w:val="auto"/>
          <w:sz w:val="24"/>
          <w:lang w:val="en-US" w:eastAsia="zh-CN"/>
        </w:rPr>
        <w:t>乙方</w:t>
      </w:r>
      <w:r>
        <w:rPr>
          <w:rFonts w:hint="eastAsia" w:hAnsi="宋体"/>
          <w:bCs/>
          <w:color w:val="auto"/>
          <w:sz w:val="24"/>
        </w:rPr>
        <w:t>应在接到</w:t>
      </w:r>
      <w:r>
        <w:rPr>
          <w:rFonts w:hint="eastAsia" w:hAnsi="宋体"/>
          <w:bCs/>
          <w:color w:val="auto"/>
          <w:sz w:val="24"/>
          <w:lang w:val="en-US" w:eastAsia="zh-CN"/>
        </w:rPr>
        <w:t>甲方</w:t>
      </w:r>
      <w:r>
        <w:rPr>
          <w:rFonts w:hint="eastAsia" w:hAnsi="宋体"/>
          <w:bCs/>
          <w:color w:val="auto"/>
          <w:sz w:val="24"/>
        </w:rPr>
        <w:t>通知后在规定的时间内负责派技术人员到现场进行</w:t>
      </w:r>
      <w:r>
        <w:rPr>
          <w:rFonts w:hint="eastAsia" w:hAnsi="宋体"/>
          <w:bCs/>
          <w:color w:val="auto"/>
          <w:sz w:val="24"/>
          <w:lang w:val="en-US" w:eastAsia="zh-CN"/>
        </w:rPr>
        <w:t>施工</w:t>
      </w:r>
      <w:r>
        <w:rPr>
          <w:rFonts w:hint="eastAsia" w:hAnsi="宋体"/>
          <w:bCs/>
          <w:color w:val="auto"/>
          <w:sz w:val="24"/>
        </w:rPr>
        <w:t>安装、调试，并负责调试至验收合格交付采购人使用。</w:t>
      </w:r>
      <w:bookmarkEnd w:id="168"/>
    </w:p>
    <w:p>
      <w:pPr>
        <w:pStyle w:val="17"/>
        <w:spacing w:line="360" w:lineRule="auto"/>
        <w:ind w:firstLine="240" w:firstLineChars="100"/>
        <w:jc w:val="left"/>
        <w:outlineLvl w:val="1"/>
        <w:rPr>
          <w:rFonts w:hAnsi="宋体"/>
          <w:bCs/>
          <w:color w:val="auto"/>
          <w:sz w:val="24"/>
        </w:rPr>
      </w:pPr>
      <w:bookmarkStart w:id="169" w:name="_Toc30521"/>
      <w:r>
        <w:rPr>
          <w:rFonts w:hint="eastAsia" w:hAnsi="宋体"/>
          <w:bCs/>
          <w:color w:val="auto"/>
          <w:sz w:val="24"/>
          <w:lang w:val="en-US" w:eastAsia="zh-CN"/>
        </w:rPr>
        <w:t>7</w:t>
      </w:r>
      <w:r>
        <w:rPr>
          <w:rFonts w:hint="eastAsia" w:hAnsi="宋体"/>
          <w:bCs/>
          <w:color w:val="auto"/>
          <w:sz w:val="24"/>
        </w:rPr>
        <w:t>.1.3</w:t>
      </w:r>
      <w:r>
        <w:rPr>
          <w:rFonts w:hint="eastAsia" w:hAnsi="宋体"/>
          <w:bCs/>
          <w:color w:val="auto"/>
          <w:sz w:val="24"/>
          <w:lang w:val="en-US" w:eastAsia="zh-CN"/>
        </w:rPr>
        <w:t>乙方</w:t>
      </w:r>
      <w:r>
        <w:rPr>
          <w:rFonts w:hint="eastAsia" w:hAnsi="宋体"/>
          <w:bCs/>
          <w:color w:val="auto"/>
          <w:sz w:val="24"/>
        </w:rPr>
        <w:t>负责组织专业技术人员进行货物</w:t>
      </w:r>
      <w:r>
        <w:rPr>
          <w:rFonts w:hint="eastAsia" w:hAnsi="宋体"/>
          <w:bCs/>
          <w:color w:val="auto"/>
          <w:sz w:val="24"/>
          <w:lang w:val="en-US" w:eastAsia="zh-CN"/>
        </w:rPr>
        <w:t>施工</w:t>
      </w:r>
      <w:r>
        <w:rPr>
          <w:rFonts w:hint="eastAsia" w:hAnsi="宋体"/>
          <w:bCs/>
          <w:color w:val="auto"/>
          <w:sz w:val="24"/>
        </w:rPr>
        <w:t>安装调试，</w:t>
      </w:r>
      <w:r>
        <w:rPr>
          <w:rFonts w:hint="eastAsia" w:hAnsi="宋体"/>
          <w:bCs/>
          <w:color w:val="auto"/>
          <w:sz w:val="24"/>
          <w:lang w:val="en-US" w:eastAsia="zh-CN"/>
        </w:rPr>
        <w:t>甲方</w:t>
      </w:r>
      <w:r>
        <w:rPr>
          <w:rFonts w:hint="eastAsia" w:hAnsi="宋体"/>
          <w:bCs/>
          <w:color w:val="auto"/>
          <w:sz w:val="24"/>
        </w:rPr>
        <w:t>应提供必须的基本条件和专人配合，保证各项</w:t>
      </w:r>
      <w:r>
        <w:rPr>
          <w:rFonts w:hint="eastAsia" w:hAnsi="宋体"/>
          <w:bCs/>
          <w:color w:val="auto"/>
          <w:sz w:val="24"/>
          <w:lang w:val="en-US" w:eastAsia="zh-CN"/>
        </w:rPr>
        <w:t>施工</w:t>
      </w:r>
      <w:r>
        <w:rPr>
          <w:rFonts w:hint="eastAsia" w:hAnsi="宋体"/>
          <w:bCs/>
          <w:color w:val="auto"/>
          <w:sz w:val="24"/>
        </w:rPr>
        <w:t>安装工作顺利进行。</w:t>
      </w:r>
      <w:bookmarkEnd w:id="169"/>
    </w:p>
    <w:p>
      <w:pPr>
        <w:pStyle w:val="17"/>
        <w:spacing w:line="360" w:lineRule="auto"/>
        <w:ind w:firstLine="240" w:firstLineChars="100"/>
        <w:jc w:val="left"/>
        <w:outlineLvl w:val="1"/>
        <w:rPr>
          <w:rFonts w:hAnsi="宋体"/>
          <w:bCs/>
          <w:color w:val="auto"/>
          <w:sz w:val="24"/>
        </w:rPr>
      </w:pPr>
      <w:bookmarkStart w:id="170" w:name="_Toc15945"/>
      <w:r>
        <w:rPr>
          <w:rFonts w:hint="eastAsia" w:hAnsi="宋体"/>
          <w:bCs/>
          <w:color w:val="auto"/>
          <w:sz w:val="24"/>
          <w:lang w:val="en-US" w:eastAsia="zh-CN"/>
        </w:rPr>
        <w:t>7</w:t>
      </w:r>
      <w:r>
        <w:rPr>
          <w:rFonts w:hint="eastAsia" w:hAnsi="宋体"/>
          <w:bCs/>
          <w:color w:val="auto"/>
          <w:sz w:val="24"/>
        </w:rPr>
        <w:t>.1.4</w:t>
      </w:r>
      <w:r>
        <w:rPr>
          <w:rFonts w:hint="eastAsia" w:hAnsi="宋体"/>
          <w:bCs/>
          <w:color w:val="auto"/>
          <w:sz w:val="24"/>
          <w:lang w:val="en-US" w:eastAsia="zh-CN"/>
        </w:rPr>
        <w:t>乙方</w:t>
      </w:r>
      <w:r>
        <w:rPr>
          <w:rFonts w:hint="eastAsia" w:hAnsi="宋体"/>
          <w:bCs/>
          <w:color w:val="auto"/>
          <w:sz w:val="24"/>
        </w:rPr>
        <w:t>应在合同签订时向</w:t>
      </w:r>
      <w:r>
        <w:rPr>
          <w:rFonts w:hint="eastAsia" w:hAnsi="宋体"/>
          <w:bCs/>
          <w:color w:val="auto"/>
          <w:sz w:val="24"/>
          <w:lang w:val="en-US" w:eastAsia="zh-CN"/>
        </w:rPr>
        <w:t>甲方</w:t>
      </w:r>
      <w:r>
        <w:rPr>
          <w:rFonts w:hint="eastAsia" w:hAnsi="宋体"/>
          <w:bCs/>
          <w:color w:val="auto"/>
          <w:sz w:val="24"/>
        </w:rPr>
        <w:t>提供</w:t>
      </w:r>
      <w:r>
        <w:rPr>
          <w:rFonts w:hint="eastAsia" w:hAnsi="宋体"/>
          <w:bCs/>
          <w:color w:val="auto"/>
          <w:sz w:val="24"/>
          <w:lang w:val="en-US" w:eastAsia="zh-CN"/>
        </w:rPr>
        <w:t>施工</w:t>
      </w:r>
      <w:r>
        <w:rPr>
          <w:rFonts w:hint="eastAsia" w:hAnsi="宋体"/>
          <w:bCs/>
          <w:color w:val="auto"/>
          <w:sz w:val="24"/>
        </w:rPr>
        <w:t>安装、调试及试运行的进度计划表。</w:t>
      </w:r>
      <w:bookmarkEnd w:id="170"/>
    </w:p>
    <w:p>
      <w:pPr>
        <w:pStyle w:val="17"/>
        <w:spacing w:line="360" w:lineRule="auto"/>
        <w:ind w:firstLine="240" w:firstLineChars="100"/>
        <w:jc w:val="left"/>
        <w:outlineLvl w:val="1"/>
        <w:rPr>
          <w:rFonts w:hAnsi="宋体"/>
          <w:bCs/>
          <w:color w:val="auto"/>
          <w:sz w:val="24"/>
        </w:rPr>
      </w:pPr>
      <w:bookmarkStart w:id="171" w:name="_Toc18417"/>
      <w:r>
        <w:rPr>
          <w:rFonts w:hint="eastAsia" w:hAnsi="宋体"/>
          <w:bCs/>
          <w:color w:val="auto"/>
          <w:sz w:val="24"/>
          <w:lang w:val="en-US" w:eastAsia="zh-CN"/>
        </w:rPr>
        <w:t>7</w:t>
      </w:r>
      <w:r>
        <w:rPr>
          <w:rFonts w:hint="eastAsia" w:hAnsi="宋体"/>
          <w:bCs/>
          <w:color w:val="auto"/>
          <w:sz w:val="24"/>
        </w:rPr>
        <w:t>.1.5设备到达最终用户现场后，</w:t>
      </w:r>
      <w:r>
        <w:rPr>
          <w:rFonts w:hint="eastAsia" w:hAnsi="宋体"/>
          <w:bCs/>
          <w:color w:val="auto"/>
          <w:sz w:val="24"/>
          <w:lang w:val="en-US" w:eastAsia="zh-CN"/>
        </w:rPr>
        <w:t>乙方</w:t>
      </w:r>
      <w:r>
        <w:rPr>
          <w:rFonts w:hint="eastAsia" w:hAnsi="宋体"/>
          <w:bCs/>
          <w:color w:val="auto"/>
          <w:sz w:val="24"/>
        </w:rPr>
        <w:t>的工程师到</w:t>
      </w:r>
      <w:r>
        <w:rPr>
          <w:rFonts w:hint="eastAsia" w:hAnsi="宋体"/>
          <w:bCs/>
          <w:color w:val="auto"/>
          <w:sz w:val="24"/>
          <w:lang w:val="en-US" w:eastAsia="zh-CN"/>
        </w:rPr>
        <w:t>甲方</w:t>
      </w:r>
      <w:r>
        <w:rPr>
          <w:rFonts w:hint="eastAsia" w:hAnsi="宋体"/>
          <w:bCs/>
          <w:color w:val="auto"/>
          <w:sz w:val="24"/>
        </w:rPr>
        <w:t>的现场</w:t>
      </w:r>
      <w:r>
        <w:rPr>
          <w:rFonts w:hint="eastAsia" w:hAnsi="宋体"/>
          <w:bCs/>
          <w:color w:val="auto"/>
          <w:sz w:val="24"/>
          <w:lang w:val="en-US" w:eastAsia="zh-CN"/>
        </w:rPr>
        <w:t>施工</w:t>
      </w:r>
      <w:r>
        <w:rPr>
          <w:rFonts w:hint="eastAsia" w:hAnsi="宋体"/>
          <w:bCs/>
          <w:color w:val="auto"/>
          <w:sz w:val="24"/>
        </w:rPr>
        <w:t>安装设备，同时应向</w:t>
      </w:r>
      <w:r>
        <w:rPr>
          <w:rFonts w:hint="eastAsia" w:hAnsi="宋体"/>
          <w:bCs/>
          <w:color w:val="auto"/>
          <w:sz w:val="24"/>
          <w:lang w:val="en-US" w:eastAsia="zh-CN"/>
        </w:rPr>
        <w:t>甲方</w:t>
      </w:r>
      <w:r>
        <w:rPr>
          <w:rFonts w:hint="eastAsia" w:hAnsi="宋体"/>
          <w:bCs/>
          <w:color w:val="auto"/>
          <w:sz w:val="24"/>
        </w:rPr>
        <w:t>介绍设备功能。</w:t>
      </w:r>
      <w:bookmarkEnd w:id="171"/>
    </w:p>
    <w:p>
      <w:pPr>
        <w:pStyle w:val="17"/>
        <w:spacing w:line="360" w:lineRule="auto"/>
        <w:ind w:firstLine="240" w:firstLineChars="100"/>
        <w:jc w:val="left"/>
        <w:outlineLvl w:val="1"/>
        <w:rPr>
          <w:rFonts w:hint="eastAsia" w:hAnsi="宋体"/>
          <w:bCs/>
          <w:color w:val="auto"/>
          <w:sz w:val="24"/>
        </w:rPr>
      </w:pPr>
      <w:bookmarkStart w:id="172" w:name="_Toc14882"/>
      <w:r>
        <w:rPr>
          <w:rFonts w:hint="eastAsia" w:hAnsi="宋体"/>
          <w:bCs/>
          <w:color w:val="auto"/>
          <w:sz w:val="24"/>
          <w:lang w:val="en-US" w:eastAsia="zh-CN"/>
        </w:rPr>
        <w:t>7</w:t>
      </w:r>
      <w:r>
        <w:rPr>
          <w:rFonts w:hint="eastAsia" w:hAnsi="宋体"/>
          <w:bCs/>
          <w:color w:val="auto"/>
          <w:sz w:val="24"/>
        </w:rPr>
        <w:t>.1.6设备进场后</w:t>
      </w:r>
      <w:r>
        <w:rPr>
          <w:rFonts w:hint="eastAsia" w:hAnsi="宋体"/>
          <w:bCs/>
          <w:color w:val="auto"/>
          <w:sz w:val="24"/>
          <w:lang w:val="en-US" w:eastAsia="zh-CN"/>
        </w:rPr>
        <w:t>乙方</w:t>
      </w:r>
      <w:r>
        <w:rPr>
          <w:rFonts w:hint="eastAsia" w:hAnsi="宋体"/>
          <w:bCs/>
          <w:color w:val="auto"/>
          <w:sz w:val="24"/>
        </w:rPr>
        <w:t>须接到</w:t>
      </w:r>
      <w:r>
        <w:rPr>
          <w:rFonts w:hint="eastAsia" w:hAnsi="宋体"/>
          <w:bCs/>
          <w:color w:val="auto"/>
          <w:sz w:val="24"/>
          <w:lang w:val="en-US" w:eastAsia="zh-CN"/>
        </w:rPr>
        <w:t>甲方</w:t>
      </w:r>
      <w:r>
        <w:rPr>
          <w:rFonts w:hint="eastAsia" w:hAnsi="宋体"/>
          <w:bCs/>
          <w:color w:val="auto"/>
          <w:sz w:val="24"/>
        </w:rPr>
        <w:t>安装通知后在</w:t>
      </w:r>
      <w:r>
        <w:rPr>
          <w:rFonts w:hint="eastAsia" w:hAnsi="宋体"/>
          <w:bCs/>
          <w:color w:val="auto"/>
          <w:sz w:val="24"/>
          <w:lang w:val="en-US" w:eastAsia="zh-CN"/>
        </w:rPr>
        <w:t>甲方</w:t>
      </w:r>
      <w:r>
        <w:rPr>
          <w:rFonts w:hint="eastAsia" w:hAnsi="宋体"/>
          <w:bCs/>
          <w:color w:val="auto"/>
          <w:sz w:val="24"/>
        </w:rPr>
        <w:t>规定时间内</w:t>
      </w:r>
      <w:r>
        <w:rPr>
          <w:rFonts w:hint="eastAsia" w:hAnsi="宋体"/>
          <w:bCs/>
          <w:color w:val="auto"/>
          <w:sz w:val="24"/>
          <w:lang w:val="en-US" w:eastAsia="zh-CN"/>
        </w:rPr>
        <w:t>施工</w:t>
      </w:r>
      <w:r>
        <w:rPr>
          <w:rFonts w:hint="eastAsia" w:hAnsi="宋体"/>
          <w:bCs/>
          <w:color w:val="auto"/>
          <w:sz w:val="24"/>
        </w:rPr>
        <w:t>安装调试完毕交付使用</w:t>
      </w:r>
      <w:r>
        <w:rPr>
          <w:rFonts w:hint="eastAsia" w:hAnsi="宋体"/>
          <w:bCs/>
          <w:color w:val="auto"/>
          <w:sz w:val="24"/>
          <w:lang w:val="en-US" w:eastAsia="zh-CN"/>
        </w:rPr>
        <w:t>并符合甲方验收标准</w:t>
      </w:r>
      <w:r>
        <w:rPr>
          <w:rFonts w:hint="eastAsia" w:hAnsi="宋体"/>
          <w:bCs/>
          <w:color w:val="auto"/>
          <w:sz w:val="24"/>
        </w:rPr>
        <w:t>。</w:t>
      </w:r>
      <w:bookmarkEnd w:id="172"/>
    </w:p>
    <w:bookmarkEnd w:id="166"/>
    <w:p>
      <w:pPr>
        <w:pStyle w:val="17"/>
        <w:spacing w:line="360" w:lineRule="auto"/>
        <w:ind w:firstLine="240" w:firstLineChars="100"/>
        <w:jc w:val="left"/>
        <w:outlineLvl w:val="1"/>
        <w:rPr>
          <w:rFonts w:hAnsi="宋体"/>
          <w:bCs/>
          <w:color w:val="auto"/>
          <w:sz w:val="24"/>
        </w:rPr>
      </w:pPr>
      <w:bookmarkStart w:id="173" w:name="_Toc16104"/>
      <w:bookmarkStart w:id="174" w:name="_Toc29439"/>
      <w:r>
        <w:rPr>
          <w:rFonts w:hint="eastAsia" w:hAnsi="宋体"/>
          <w:bCs/>
          <w:color w:val="auto"/>
          <w:sz w:val="24"/>
        </w:rPr>
        <w:t>7.</w:t>
      </w:r>
      <w:r>
        <w:rPr>
          <w:rFonts w:hint="eastAsia" w:hAnsi="宋体"/>
          <w:bCs/>
          <w:color w:val="auto"/>
          <w:sz w:val="24"/>
          <w:lang w:val="en-US" w:eastAsia="zh-CN"/>
        </w:rPr>
        <w:t>2</w:t>
      </w:r>
      <w:r>
        <w:rPr>
          <w:rFonts w:hint="eastAsia" w:hAnsi="宋体"/>
          <w:bCs/>
          <w:color w:val="auto"/>
          <w:sz w:val="24"/>
        </w:rPr>
        <w:t>验收</w:t>
      </w:r>
      <w:bookmarkEnd w:id="173"/>
      <w:bookmarkEnd w:id="174"/>
    </w:p>
    <w:p>
      <w:pPr>
        <w:pStyle w:val="17"/>
        <w:spacing w:line="360" w:lineRule="auto"/>
        <w:ind w:firstLine="240" w:firstLineChars="100"/>
        <w:jc w:val="left"/>
        <w:outlineLvl w:val="1"/>
        <w:rPr>
          <w:rFonts w:hAnsi="宋体"/>
          <w:bCs/>
          <w:color w:val="auto"/>
          <w:sz w:val="24"/>
        </w:rPr>
      </w:pPr>
      <w:bookmarkStart w:id="175" w:name="_Toc9031"/>
      <w:bookmarkStart w:id="176" w:name="_Toc30181"/>
      <w:r>
        <w:rPr>
          <w:rFonts w:hint="eastAsia" w:hAnsi="宋体"/>
          <w:bCs/>
          <w:color w:val="auto"/>
          <w:sz w:val="24"/>
        </w:rPr>
        <w:t>7.</w:t>
      </w:r>
      <w:r>
        <w:rPr>
          <w:rFonts w:hint="eastAsia" w:hAnsi="宋体"/>
          <w:bCs/>
          <w:color w:val="auto"/>
          <w:sz w:val="24"/>
          <w:lang w:val="en-US" w:eastAsia="zh-CN"/>
        </w:rPr>
        <w:t>2</w:t>
      </w:r>
      <w:r>
        <w:rPr>
          <w:rFonts w:hint="eastAsia" w:hAnsi="宋体"/>
          <w:bCs/>
          <w:color w:val="auto"/>
          <w:sz w:val="24"/>
        </w:rPr>
        <w:t>.1验收标准</w:t>
      </w:r>
      <w:bookmarkEnd w:id="175"/>
      <w:bookmarkEnd w:id="176"/>
    </w:p>
    <w:p>
      <w:pPr>
        <w:pStyle w:val="17"/>
        <w:spacing w:line="360" w:lineRule="auto"/>
        <w:ind w:firstLine="240" w:firstLineChars="100"/>
        <w:jc w:val="left"/>
        <w:outlineLvl w:val="1"/>
        <w:rPr>
          <w:rFonts w:hAnsi="宋体"/>
          <w:bCs/>
          <w:color w:val="auto"/>
          <w:sz w:val="24"/>
        </w:rPr>
      </w:pPr>
      <w:bookmarkStart w:id="177" w:name="_Toc22159"/>
      <w:bookmarkStart w:id="178" w:name="_Toc9798"/>
      <w:r>
        <w:rPr>
          <w:rFonts w:hint="eastAsia" w:hAnsi="宋体"/>
          <w:bCs/>
          <w:color w:val="auto"/>
          <w:sz w:val="24"/>
        </w:rPr>
        <w:t>乙方所提供的产品或设备必须按</w:t>
      </w:r>
      <w:r>
        <w:rPr>
          <w:rFonts w:hint="eastAsia" w:hAnsi="宋体"/>
          <w:bCs/>
          <w:color w:val="auto"/>
          <w:sz w:val="24"/>
          <w:lang w:eastAsia="zh-CN"/>
        </w:rPr>
        <w:t>询价通知书</w:t>
      </w:r>
      <w:r>
        <w:rPr>
          <w:rFonts w:hint="eastAsia" w:hAnsi="宋体"/>
          <w:bCs/>
          <w:color w:val="auto"/>
          <w:sz w:val="24"/>
        </w:rPr>
        <w:t>、</w:t>
      </w:r>
      <w:r>
        <w:rPr>
          <w:rFonts w:hint="eastAsia" w:hAnsi="宋体"/>
          <w:bCs/>
          <w:color w:val="auto"/>
          <w:sz w:val="24"/>
          <w:lang w:eastAsia="zh-CN"/>
        </w:rPr>
        <w:t>询价响应文件</w:t>
      </w:r>
      <w:r>
        <w:rPr>
          <w:rFonts w:hint="eastAsia" w:hAnsi="宋体"/>
          <w:bCs/>
          <w:color w:val="auto"/>
          <w:sz w:val="24"/>
        </w:rPr>
        <w:t>等有关内容进行验收。乙方提供设备的制造标准及技术规范等有关资料必须符合中国相应有关标准、规范要求。</w:t>
      </w:r>
      <w:bookmarkEnd w:id="177"/>
      <w:bookmarkEnd w:id="178"/>
    </w:p>
    <w:p>
      <w:pPr>
        <w:pStyle w:val="17"/>
        <w:spacing w:line="360" w:lineRule="auto"/>
        <w:ind w:firstLine="240" w:firstLineChars="100"/>
        <w:jc w:val="left"/>
        <w:outlineLvl w:val="1"/>
        <w:rPr>
          <w:rFonts w:hAnsi="宋体"/>
          <w:bCs/>
          <w:color w:val="auto"/>
          <w:sz w:val="24"/>
        </w:rPr>
      </w:pPr>
      <w:bookmarkStart w:id="179" w:name="_Toc13433"/>
      <w:bookmarkStart w:id="180" w:name="_Toc2464"/>
      <w:r>
        <w:rPr>
          <w:rFonts w:hint="eastAsia" w:hAnsi="宋体"/>
          <w:bCs/>
          <w:color w:val="auto"/>
          <w:sz w:val="24"/>
        </w:rPr>
        <w:t>7.</w:t>
      </w:r>
      <w:r>
        <w:rPr>
          <w:rFonts w:hint="eastAsia" w:hAnsi="宋体"/>
          <w:bCs/>
          <w:color w:val="auto"/>
          <w:sz w:val="24"/>
          <w:lang w:val="en-US" w:eastAsia="zh-CN"/>
        </w:rPr>
        <w:t>2</w:t>
      </w:r>
      <w:r>
        <w:rPr>
          <w:rFonts w:hint="eastAsia" w:hAnsi="宋体"/>
          <w:bCs/>
          <w:color w:val="auto"/>
          <w:sz w:val="24"/>
        </w:rPr>
        <w:t>.2验收程序和方法</w:t>
      </w:r>
      <w:bookmarkEnd w:id="179"/>
      <w:bookmarkEnd w:id="180"/>
    </w:p>
    <w:p>
      <w:pPr>
        <w:pStyle w:val="17"/>
        <w:spacing w:line="360" w:lineRule="auto"/>
        <w:ind w:firstLine="240" w:firstLineChars="100"/>
        <w:jc w:val="left"/>
        <w:outlineLvl w:val="1"/>
        <w:rPr>
          <w:rFonts w:hAnsi="宋体"/>
          <w:bCs/>
          <w:color w:val="auto"/>
          <w:sz w:val="24"/>
        </w:rPr>
      </w:pPr>
      <w:bookmarkStart w:id="181" w:name="_Toc32626"/>
      <w:bookmarkStart w:id="182" w:name="_Toc3131"/>
      <w:r>
        <w:rPr>
          <w:rFonts w:hint="eastAsia" w:hAnsi="宋体"/>
          <w:bCs/>
          <w:color w:val="auto"/>
          <w:sz w:val="24"/>
        </w:rPr>
        <w:t>7.</w:t>
      </w:r>
      <w:r>
        <w:rPr>
          <w:rFonts w:hint="eastAsia" w:hAnsi="宋体"/>
          <w:bCs/>
          <w:color w:val="auto"/>
          <w:sz w:val="24"/>
          <w:lang w:val="en-US" w:eastAsia="zh-CN"/>
        </w:rPr>
        <w:t>2</w:t>
      </w:r>
      <w:r>
        <w:rPr>
          <w:rFonts w:hint="eastAsia" w:hAnsi="宋体"/>
          <w:bCs/>
          <w:color w:val="auto"/>
          <w:sz w:val="24"/>
        </w:rPr>
        <w:t>.2.1出厂检验</w:t>
      </w:r>
      <w:bookmarkEnd w:id="181"/>
      <w:bookmarkEnd w:id="182"/>
    </w:p>
    <w:p>
      <w:pPr>
        <w:pStyle w:val="17"/>
        <w:spacing w:line="360" w:lineRule="auto"/>
        <w:ind w:firstLine="240" w:firstLineChars="100"/>
        <w:jc w:val="left"/>
        <w:outlineLvl w:val="1"/>
        <w:rPr>
          <w:rFonts w:hAnsi="宋体"/>
          <w:bCs/>
          <w:color w:val="auto"/>
          <w:sz w:val="24"/>
        </w:rPr>
      </w:pPr>
      <w:bookmarkStart w:id="183" w:name="_Toc1624"/>
      <w:bookmarkStart w:id="184" w:name="_Toc26128"/>
      <w:r>
        <w:rPr>
          <w:rFonts w:hint="eastAsia" w:hAnsi="宋体"/>
          <w:bCs/>
          <w:color w:val="auto"/>
          <w:sz w:val="24"/>
        </w:rPr>
        <w:t>乙方在设备出厂前，应按合同规定的检验项目和检验方法进行全面检验，乙方应随同货物出具供货证明、产地证书、出厂检验报告和设备质量合格证等。结果必须符合第7.2.1款验收标准的要求。</w:t>
      </w:r>
      <w:bookmarkEnd w:id="183"/>
      <w:bookmarkEnd w:id="184"/>
    </w:p>
    <w:p>
      <w:pPr>
        <w:pStyle w:val="17"/>
        <w:spacing w:line="360" w:lineRule="auto"/>
        <w:ind w:firstLine="240" w:firstLineChars="100"/>
        <w:jc w:val="left"/>
        <w:outlineLvl w:val="1"/>
        <w:rPr>
          <w:rFonts w:hAnsi="宋体"/>
          <w:bCs/>
          <w:color w:val="auto"/>
          <w:sz w:val="24"/>
        </w:rPr>
      </w:pPr>
      <w:bookmarkStart w:id="185" w:name="_Toc14403"/>
      <w:bookmarkStart w:id="186" w:name="_Toc15535"/>
      <w:r>
        <w:rPr>
          <w:rFonts w:hint="eastAsia" w:hAnsi="宋体"/>
          <w:bCs/>
          <w:color w:val="auto"/>
          <w:sz w:val="24"/>
        </w:rPr>
        <w:t>7.</w:t>
      </w:r>
      <w:r>
        <w:rPr>
          <w:rFonts w:hint="eastAsia" w:hAnsi="宋体"/>
          <w:bCs/>
          <w:color w:val="auto"/>
          <w:sz w:val="24"/>
          <w:lang w:val="en-US" w:eastAsia="zh-CN"/>
        </w:rPr>
        <w:t>2</w:t>
      </w:r>
      <w:r>
        <w:rPr>
          <w:rFonts w:hint="eastAsia" w:hAnsi="宋体"/>
          <w:bCs/>
          <w:color w:val="auto"/>
          <w:sz w:val="24"/>
        </w:rPr>
        <w:t>.2.2乙方自检</w:t>
      </w:r>
      <w:bookmarkEnd w:id="185"/>
      <w:bookmarkEnd w:id="186"/>
    </w:p>
    <w:p>
      <w:pPr>
        <w:pStyle w:val="17"/>
        <w:spacing w:line="360" w:lineRule="auto"/>
        <w:ind w:firstLine="240" w:firstLineChars="100"/>
        <w:jc w:val="left"/>
        <w:outlineLvl w:val="1"/>
        <w:rPr>
          <w:rFonts w:hAnsi="宋体"/>
          <w:bCs/>
          <w:color w:val="auto"/>
          <w:sz w:val="24"/>
        </w:rPr>
      </w:pPr>
      <w:bookmarkStart w:id="187" w:name="_Toc13863"/>
      <w:bookmarkStart w:id="188" w:name="_Toc4000"/>
      <w:r>
        <w:rPr>
          <w:rFonts w:hint="eastAsia" w:hAnsi="宋体"/>
          <w:bCs/>
          <w:color w:val="auto"/>
          <w:sz w:val="24"/>
        </w:rPr>
        <w:t>设备在安装地安装完毕后，要求乙方对所有设备的性能进行自检，检验结果必须符合</w:t>
      </w:r>
      <w:r>
        <w:rPr>
          <w:rFonts w:hint="eastAsia" w:hAnsi="宋体"/>
          <w:bCs/>
          <w:color w:val="auto"/>
          <w:sz w:val="24"/>
          <w:lang w:eastAsia="zh-CN"/>
        </w:rPr>
        <w:t>询价通知书</w:t>
      </w:r>
      <w:r>
        <w:rPr>
          <w:rFonts w:hint="eastAsia" w:hAnsi="宋体"/>
          <w:bCs/>
          <w:color w:val="auto"/>
          <w:sz w:val="24"/>
        </w:rPr>
        <w:t>技术要求以及合同中相关条款。</w:t>
      </w:r>
      <w:bookmarkEnd w:id="187"/>
      <w:bookmarkEnd w:id="188"/>
    </w:p>
    <w:p>
      <w:pPr>
        <w:pStyle w:val="17"/>
        <w:spacing w:line="360" w:lineRule="auto"/>
        <w:ind w:firstLine="240" w:firstLineChars="100"/>
        <w:jc w:val="left"/>
        <w:outlineLvl w:val="1"/>
        <w:rPr>
          <w:rFonts w:hAnsi="宋体"/>
          <w:bCs/>
          <w:color w:val="auto"/>
          <w:sz w:val="24"/>
        </w:rPr>
      </w:pPr>
      <w:bookmarkStart w:id="189" w:name="_Toc5301"/>
      <w:bookmarkStart w:id="190" w:name="_Toc16223"/>
      <w:r>
        <w:rPr>
          <w:rFonts w:hint="eastAsia" w:hAnsi="宋体"/>
          <w:bCs/>
          <w:color w:val="auto"/>
          <w:sz w:val="24"/>
        </w:rPr>
        <w:t>7.</w:t>
      </w:r>
      <w:r>
        <w:rPr>
          <w:rFonts w:hint="eastAsia" w:hAnsi="宋体"/>
          <w:bCs/>
          <w:color w:val="auto"/>
          <w:sz w:val="24"/>
          <w:lang w:val="en-US" w:eastAsia="zh-CN"/>
        </w:rPr>
        <w:t>2</w:t>
      </w:r>
      <w:r>
        <w:rPr>
          <w:rFonts w:hint="eastAsia" w:hAnsi="宋体"/>
          <w:bCs/>
          <w:color w:val="auto"/>
          <w:sz w:val="24"/>
        </w:rPr>
        <w:t>.2.3验收与最终验收</w:t>
      </w:r>
      <w:bookmarkEnd w:id="189"/>
      <w:bookmarkEnd w:id="190"/>
    </w:p>
    <w:p>
      <w:pPr>
        <w:pStyle w:val="17"/>
        <w:spacing w:line="360" w:lineRule="auto"/>
        <w:ind w:firstLine="240" w:firstLineChars="100"/>
        <w:jc w:val="left"/>
        <w:outlineLvl w:val="1"/>
        <w:rPr>
          <w:rFonts w:hAnsi="宋体"/>
          <w:bCs/>
          <w:color w:val="auto"/>
          <w:sz w:val="24"/>
        </w:rPr>
      </w:pPr>
      <w:bookmarkStart w:id="191" w:name="_Toc3934"/>
      <w:bookmarkStart w:id="192" w:name="_Toc22284"/>
      <w:r>
        <w:rPr>
          <w:rFonts w:hint="eastAsia" w:hAnsi="宋体"/>
          <w:bCs/>
          <w:color w:val="auto"/>
          <w:sz w:val="24"/>
        </w:rPr>
        <w:t>乙方自检后，乙方与甲方一同按</w:t>
      </w:r>
      <w:r>
        <w:rPr>
          <w:rFonts w:hint="eastAsia" w:hAnsi="宋体"/>
          <w:bCs/>
          <w:color w:val="auto"/>
          <w:sz w:val="24"/>
          <w:lang w:eastAsia="zh-CN"/>
        </w:rPr>
        <w:t>询价通知书</w:t>
      </w:r>
      <w:r>
        <w:rPr>
          <w:rFonts w:hint="eastAsia" w:hAnsi="宋体"/>
          <w:bCs/>
          <w:color w:val="auto"/>
          <w:sz w:val="24"/>
        </w:rPr>
        <w:t>以及合同相关条款要求对设备进行验收，验收结果应符合甲方使用要求。安装完毕后，乙方需派有设备调试经验的技术人员对设备进行调试，按验收指标逐项检验，直至全部达到要求。</w:t>
      </w:r>
      <w:bookmarkEnd w:id="191"/>
      <w:bookmarkEnd w:id="192"/>
    </w:p>
    <w:p>
      <w:pPr>
        <w:pStyle w:val="17"/>
        <w:spacing w:line="360" w:lineRule="auto"/>
        <w:ind w:firstLine="240" w:firstLineChars="100"/>
        <w:jc w:val="left"/>
        <w:outlineLvl w:val="1"/>
        <w:rPr>
          <w:rFonts w:hAnsi="宋体"/>
          <w:bCs/>
          <w:color w:val="auto"/>
          <w:sz w:val="24"/>
        </w:rPr>
      </w:pPr>
      <w:bookmarkStart w:id="193" w:name="_Toc14040"/>
      <w:bookmarkStart w:id="194" w:name="_Toc503"/>
      <w:r>
        <w:rPr>
          <w:rFonts w:hint="eastAsia" w:hAnsi="宋体"/>
          <w:bCs/>
          <w:color w:val="auto"/>
          <w:sz w:val="24"/>
        </w:rPr>
        <w:t>7.</w:t>
      </w:r>
      <w:r>
        <w:rPr>
          <w:rFonts w:hint="eastAsia" w:hAnsi="宋体"/>
          <w:bCs/>
          <w:color w:val="auto"/>
          <w:sz w:val="24"/>
          <w:lang w:val="en-US" w:eastAsia="zh-CN"/>
        </w:rPr>
        <w:t>2</w:t>
      </w:r>
      <w:r>
        <w:rPr>
          <w:rFonts w:hint="eastAsia" w:hAnsi="宋体"/>
          <w:bCs/>
          <w:color w:val="auto"/>
          <w:sz w:val="24"/>
        </w:rPr>
        <w:t>.3验收所发生的一切费用均由乙方承担。</w:t>
      </w:r>
      <w:bookmarkEnd w:id="193"/>
      <w:bookmarkEnd w:id="194"/>
    </w:p>
    <w:p>
      <w:pPr>
        <w:pStyle w:val="17"/>
        <w:spacing w:line="360" w:lineRule="auto"/>
        <w:jc w:val="left"/>
        <w:outlineLvl w:val="1"/>
        <w:rPr>
          <w:rFonts w:hAnsi="宋体"/>
          <w:bCs/>
          <w:color w:val="auto"/>
          <w:sz w:val="24"/>
        </w:rPr>
      </w:pPr>
      <w:bookmarkStart w:id="195" w:name="_Toc10939"/>
      <w:bookmarkStart w:id="196" w:name="_Toc14159"/>
      <w:r>
        <w:rPr>
          <w:rFonts w:hint="eastAsia" w:hAnsi="宋体"/>
          <w:bCs/>
          <w:color w:val="auto"/>
          <w:sz w:val="24"/>
        </w:rPr>
        <w:t>8、技术资料要求(乙方应向甲方提供以下目录中部分或全部的技术资料壹套，各项指标和参数应符合验收标准，甲方有权委托有资格单位或机构对设备性能、精度进行校核。)</w:t>
      </w:r>
      <w:bookmarkEnd w:id="195"/>
      <w:bookmarkEnd w:id="196"/>
    </w:p>
    <w:p>
      <w:pPr>
        <w:pStyle w:val="17"/>
        <w:spacing w:line="360" w:lineRule="auto"/>
        <w:ind w:firstLine="240" w:firstLineChars="100"/>
        <w:jc w:val="left"/>
        <w:outlineLvl w:val="1"/>
        <w:rPr>
          <w:rFonts w:hAnsi="宋体"/>
          <w:bCs/>
          <w:color w:val="auto"/>
          <w:sz w:val="24"/>
        </w:rPr>
      </w:pPr>
      <w:bookmarkStart w:id="197" w:name="_Toc4396"/>
      <w:bookmarkStart w:id="198" w:name="_Toc15882"/>
      <w:r>
        <w:rPr>
          <w:rFonts w:hint="eastAsia" w:hAnsi="宋体"/>
          <w:bCs/>
          <w:color w:val="auto"/>
          <w:sz w:val="24"/>
        </w:rPr>
        <w:t>8.1出厂明细表(装箱单)；</w:t>
      </w:r>
      <w:bookmarkEnd w:id="197"/>
      <w:bookmarkEnd w:id="198"/>
    </w:p>
    <w:p>
      <w:pPr>
        <w:pStyle w:val="17"/>
        <w:spacing w:line="360" w:lineRule="auto"/>
        <w:ind w:firstLine="240" w:firstLineChars="100"/>
        <w:jc w:val="left"/>
        <w:outlineLvl w:val="1"/>
        <w:rPr>
          <w:rFonts w:hAnsi="宋体"/>
          <w:bCs/>
          <w:color w:val="auto"/>
          <w:sz w:val="24"/>
        </w:rPr>
      </w:pPr>
      <w:bookmarkStart w:id="199" w:name="_Toc28005"/>
      <w:bookmarkStart w:id="200" w:name="_Toc344"/>
      <w:r>
        <w:rPr>
          <w:rFonts w:hint="eastAsia" w:hAnsi="宋体"/>
          <w:bCs/>
          <w:color w:val="auto"/>
          <w:sz w:val="24"/>
        </w:rPr>
        <w:t>8.2出厂检验报告和合格证书；</w:t>
      </w:r>
      <w:bookmarkEnd w:id="199"/>
      <w:bookmarkEnd w:id="200"/>
    </w:p>
    <w:p>
      <w:pPr>
        <w:pStyle w:val="17"/>
        <w:spacing w:line="360" w:lineRule="auto"/>
        <w:ind w:firstLine="240" w:firstLineChars="100"/>
        <w:jc w:val="left"/>
        <w:outlineLvl w:val="1"/>
        <w:rPr>
          <w:rFonts w:hAnsi="宋体"/>
          <w:bCs/>
          <w:color w:val="auto"/>
          <w:sz w:val="24"/>
        </w:rPr>
      </w:pPr>
      <w:bookmarkStart w:id="201" w:name="_Toc13626"/>
      <w:bookmarkStart w:id="202" w:name="_Toc16618"/>
      <w:r>
        <w:rPr>
          <w:rFonts w:hint="eastAsia" w:hAnsi="宋体"/>
          <w:bCs/>
          <w:color w:val="auto"/>
          <w:sz w:val="24"/>
        </w:rPr>
        <w:t>8.3使用说明书；</w:t>
      </w:r>
      <w:bookmarkEnd w:id="201"/>
      <w:bookmarkEnd w:id="202"/>
    </w:p>
    <w:p>
      <w:pPr>
        <w:pStyle w:val="17"/>
        <w:spacing w:line="360" w:lineRule="auto"/>
        <w:ind w:firstLine="240" w:firstLineChars="100"/>
        <w:jc w:val="left"/>
        <w:outlineLvl w:val="1"/>
        <w:rPr>
          <w:rFonts w:hAnsi="宋体"/>
          <w:bCs/>
          <w:color w:val="auto"/>
          <w:sz w:val="24"/>
        </w:rPr>
      </w:pPr>
      <w:bookmarkStart w:id="203" w:name="_Toc2378"/>
      <w:bookmarkStart w:id="204" w:name="_Toc21332"/>
      <w:r>
        <w:rPr>
          <w:rFonts w:hint="eastAsia" w:hAnsi="宋体"/>
          <w:bCs/>
          <w:color w:val="auto"/>
          <w:sz w:val="24"/>
        </w:rPr>
        <w:t>8.4安装手册、操作手册、维修手册；</w:t>
      </w:r>
      <w:bookmarkEnd w:id="203"/>
      <w:bookmarkEnd w:id="204"/>
    </w:p>
    <w:p>
      <w:pPr>
        <w:pStyle w:val="17"/>
        <w:spacing w:line="360" w:lineRule="auto"/>
        <w:ind w:firstLine="240" w:firstLineChars="100"/>
        <w:jc w:val="left"/>
        <w:outlineLvl w:val="1"/>
        <w:rPr>
          <w:rFonts w:hAnsi="宋体"/>
          <w:bCs/>
          <w:color w:val="auto"/>
          <w:sz w:val="24"/>
        </w:rPr>
      </w:pPr>
      <w:bookmarkStart w:id="205" w:name="_Toc14068"/>
      <w:bookmarkStart w:id="206" w:name="_Toc28754"/>
      <w:r>
        <w:rPr>
          <w:rFonts w:hint="eastAsia" w:hAnsi="宋体"/>
          <w:bCs/>
          <w:color w:val="auto"/>
          <w:sz w:val="24"/>
        </w:rPr>
        <w:t>8.5零部件目录；</w:t>
      </w:r>
      <w:bookmarkEnd w:id="205"/>
      <w:bookmarkEnd w:id="206"/>
    </w:p>
    <w:p>
      <w:pPr>
        <w:pStyle w:val="17"/>
        <w:spacing w:line="360" w:lineRule="auto"/>
        <w:ind w:firstLine="240" w:firstLineChars="100"/>
        <w:jc w:val="left"/>
        <w:outlineLvl w:val="1"/>
        <w:rPr>
          <w:rFonts w:hAnsi="宋体"/>
          <w:bCs/>
          <w:color w:val="auto"/>
          <w:sz w:val="24"/>
        </w:rPr>
      </w:pPr>
      <w:bookmarkStart w:id="207" w:name="_Toc8180"/>
      <w:bookmarkStart w:id="208" w:name="_Toc20668"/>
      <w:r>
        <w:rPr>
          <w:rFonts w:hint="eastAsia" w:hAnsi="宋体"/>
          <w:bCs/>
          <w:color w:val="auto"/>
          <w:sz w:val="24"/>
        </w:rPr>
        <w:t>8.6相关文件、支持程序光盘；</w:t>
      </w:r>
      <w:bookmarkEnd w:id="207"/>
      <w:bookmarkEnd w:id="208"/>
    </w:p>
    <w:p>
      <w:pPr>
        <w:pStyle w:val="17"/>
        <w:spacing w:line="360" w:lineRule="auto"/>
        <w:ind w:firstLine="240" w:firstLineChars="100"/>
        <w:jc w:val="left"/>
        <w:outlineLvl w:val="1"/>
        <w:rPr>
          <w:rFonts w:hAnsi="宋体"/>
          <w:bCs/>
          <w:color w:val="auto"/>
          <w:sz w:val="24"/>
        </w:rPr>
      </w:pPr>
      <w:bookmarkStart w:id="209" w:name="_Toc13138"/>
      <w:bookmarkStart w:id="210" w:name="_Toc31255"/>
      <w:r>
        <w:rPr>
          <w:rFonts w:hint="eastAsia" w:hAnsi="宋体"/>
          <w:bCs/>
          <w:color w:val="auto"/>
          <w:sz w:val="24"/>
        </w:rPr>
        <w:t>8.7安装、维修及操作手册；</w:t>
      </w:r>
      <w:bookmarkEnd w:id="209"/>
      <w:bookmarkEnd w:id="210"/>
    </w:p>
    <w:p>
      <w:pPr>
        <w:pStyle w:val="17"/>
        <w:spacing w:line="360" w:lineRule="auto"/>
        <w:ind w:firstLine="240" w:firstLineChars="100"/>
        <w:jc w:val="left"/>
        <w:outlineLvl w:val="1"/>
        <w:rPr>
          <w:rFonts w:hAnsi="宋体"/>
          <w:bCs/>
          <w:color w:val="auto"/>
          <w:sz w:val="24"/>
        </w:rPr>
      </w:pPr>
      <w:bookmarkStart w:id="211" w:name="_Toc3035"/>
      <w:bookmarkStart w:id="212" w:name="_Toc24860"/>
      <w:r>
        <w:rPr>
          <w:rFonts w:hint="eastAsia" w:hAnsi="宋体"/>
          <w:bCs/>
          <w:color w:val="auto"/>
          <w:sz w:val="24"/>
        </w:rPr>
        <w:t>8.8合同中要求的其它文件资料。</w:t>
      </w:r>
      <w:bookmarkEnd w:id="211"/>
      <w:bookmarkEnd w:id="212"/>
    </w:p>
    <w:p>
      <w:pPr>
        <w:pStyle w:val="17"/>
        <w:spacing w:line="360" w:lineRule="auto"/>
        <w:jc w:val="left"/>
        <w:outlineLvl w:val="1"/>
        <w:rPr>
          <w:rFonts w:hAnsi="宋体"/>
          <w:bCs/>
          <w:color w:val="auto"/>
          <w:sz w:val="24"/>
        </w:rPr>
      </w:pPr>
      <w:bookmarkStart w:id="213" w:name="_Toc5953"/>
      <w:bookmarkStart w:id="214" w:name="_Toc29695"/>
      <w:r>
        <w:rPr>
          <w:rFonts w:hint="eastAsia" w:hAnsi="宋体"/>
          <w:bCs/>
          <w:color w:val="auto"/>
          <w:sz w:val="24"/>
        </w:rPr>
        <w:t>9、质保期和售后服务要求</w:t>
      </w:r>
      <w:bookmarkEnd w:id="213"/>
      <w:bookmarkEnd w:id="214"/>
    </w:p>
    <w:p>
      <w:pPr>
        <w:pStyle w:val="17"/>
        <w:spacing w:line="360" w:lineRule="auto"/>
        <w:ind w:firstLine="240" w:firstLineChars="100"/>
        <w:jc w:val="left"/>
        <w:outlineLvl w:val="1"/>
        <w:rPr>
          <w:rFonts w:hint="eastAsia" w:hAnsi="宋体"/>
          <w:bCs/>
          <w:color w:val="auto"/>
          <w:sz w:val="24"/>
        </w:rPr>
      </w:pPr>
      <w:bookmarkStart w:id="215" w:name="_Toc10940"/>
      <w:bookmarkStart w:id="216" w:name="_Toc13419"/>
      <w:r>
        <w:rPr>
          <w:rFonts w:hint="eastAsia" w:hAnsi="宋体"/>
          <w:bCs/>
          <w:color w:val="auto"/>
          <w:sz w:val="24"/>
        </w:rPr>
        <w:t>9.1本项目所有产品须提供至少两年的原厂免费保修期，保修期内实行三包，质保期后提供有偿维修服务（由使用方自行负责）。质保期内智慧党建平台软件须提供免费运营维护服务。质保期后有偿提供软件系统的数据服务、使用培训、版本升级和系统的维护（由使用方自行负责）。</w:t>
      </w:r>
    </w:p>
    <w:p>
      <w:pPr>
        <w:pStyle w:val="17"/>
        <w:spacing w:line="360" w:lineRule="auto"/>
        <w:ind w:firstLine="240" w:firstLineChars="100"/>
        <w:jc w:val="left"/>
        <w:outlineLvl w:val="1"/>
        <w:rPr>
          <w:rFonts w:hint="eastAsia" w:hAnsi="宋体"/>
          <w:bCs/>
          <w:color w:val="auto"/>
          <w:sz w:val="24"/>
          <w:lang w:eastAsia="zh-CN"/>
        </w:rPr>
      </w:pPr>
      <w:r>
        <w:rPr>
          <w:rFonts w:hint="eastAsia" w:hAnsi="宋体"/>
          <w:bCs/>
          <w:color w:val="auto"/>
          <w:sz w:val="24"/>
        </w:rPr>
        <w:t>9.2质保期内设备在48小时内无法修复，则需提供一台相同性能设备，在质保期内供用户免费使用。</w:t>
      </w:r>
      <w:bookmarkEnd w:id="215"/>
      <w:bookmarkStart w:id="217" w:name="_Toc7846"/>
    </w:p>
    <w:p>
      <w:pPr>
        <w:pStyle w:val="17"/>
        <w:spacing w:line="360" w:lineRule="auto"/>
        <w:ind w:firstLine="240" w:firstLineChars="100"/>
        <w:jc w:val="left"/>
        <w:outlineLvl w:val="1"/>
        <w:rPr>
          <w:rFonts w:hAnsi="宋体"/>
          <w:bCs/>
          <w:color w:val="auto"/>
          <w:sz w:val="24"/>
        </w:rPr>
      </w:pPr>
      <w:r>
        <w:rPr>
          <w:rFonts w:hint="eastAsia" w:hAnsi="宋体"/>
          <w:bCs/>
          <w:color w:val="auto"/>
          <w:sz w:val="24"/>
          <w:lang w:eastAsia="zh-CN"/>
        </w:rPr>
        <w:t>9.</w:t>
      </w:r>
      <w:r>
        <w:rPr>
          <w:rFonts w:hint="eastAsia" w:hAnsi="宋体"/>
          <w:bCs/>
          <w:color w:val="auto"/>
          <w:sz w:val="24"/>
        </w:rPr>
        <w:t>3</w:t>
      </w:r>
      <w:r>
        <w:rPr>
          <w:rFonts w:hint="eastAsia" w:ascii="宋体" w:hAnsi="宋体" w:cs="宋体"/>
          <w:color w:val="auto"/>
          <w:sz w:val="24"/>
        </w:rPr>
        <w:t>质保期内</w:t>
      </w:r>
      <w:r>
        <w:rPr>
          <w:rFonts w:hint="eastAsia" w:hAnsi="宋体" w:cs="宋体"/>
          <w:color w:val="auto"/>
          <w:sz w:val="24"/>
          <w:lang w:eastAsia="zh-CN"/>
        </w:rPr>
        <w:t>乙方</w:t>
      </w:r>
      <w:r>
        <w:rPr>
          <w:rFonts w:hint="eastAsia" w:ascii="宋体" w:hAnsi="宋体" w:cs="宋体"/>
          <w:color w:val="auto"/>
          <w:sz w:val="24"/>
        </w:rPr>
        <w:t>应对设备至少每年免费提供一次系统全面保养。在龙岩市内配备有专职工程师，不定期以电话或上门的方式与客户联系，并对客户的产品进行维护和保养。</w:t>
      </w:r>
      <w:bookmarkEnd w:id="217"/>
    </w:p>
    <w:p>
      <w:pPr>
        <w:pStyle w:val="17"/>
        <w:spacing w:line="360" w:lineRule="auto"/>
        <w:ind w:firstLine="240" w:firstLineChars="100"/>
        <w:jc w:val="left"/>
        <w:outlineLvl w:val="1"/>
        <w:rPr>
          <w:rFonts w:hAnsi="宋体"/>
          <w:bCs/>
          <w:color w:val="auto"/>
          <w:sz w:val="24"/>
        </w:rPr>
      </w:pPr>
      <w:bookmarkStart w:id="218" w:name="_Toc29448"/>
      <w:r>
        <w:rPr>
          <w:rFonts w:hint="eastAsia" w:hAnsi="宋体"/>
          <w:bCs/>
          <w:color w:val="auto"/>
          <w:sz w:val="24"/>
          <w:lang w:eastAsia="zh-CN"/>
        </w:rPr>
        <w:t>9.</w:t>
      </w:r>
      <w:r>
        <w:rPr>
          <w:rFonts w:hint="eastAsia" w:hAnsi="宋体"/>
          <w:bCs/>
          <w:color w:val="auto"/>
          <w:sz w:val="24"/>
        </w:rPr>
        <w:t>4</w:t>
      </w:r>
      <w:r>
        <w:rPr>
          <w:rFonts w:hint="eastAsia" w:ascii="宋体" w:hAnsi="宋体" w:cs="宋体"/>
          <w:color w:val="auto"/>
          <w:sz w:val="24"/>
        </w:rPr>
        <w:t>质保期结束后，</w:t>
      </w:r>
      <w:r>
        <w:rPr>
          <w:rFonts w:hint="eastAsia" w:hAnsi="宋体" w:cs="宋体"/>
          <w:color w:val="auto"/>
          <w:sz w:val="24"/>
          <w:lang w:eastAsia="zh-CN"/>
        </w:rPr>
        <w:t>乙方</w:t>
      </w:r>
      <w:r>
        <w:rPr>
          <w:rFonts w:hint="eastAsia" w:ascii="宋体" w:hAnsi="宋体" w:cs="宋体"/>
          <w:color w:val="auto"/>
          <w:sz w:val="24"/>
        </w:rPr>
        <w:t>应在货物使用地区指定有能力的代理人对货物在必要时进行定期维护和修理，能在</w:t>
      </w:r>
      <w:r>
        <w:rPr>
          <w:rFonts w:hint="eastAsia" w:hAnsi="宋体" w:cs="宋体"/>
          <w:color w:val="auto"/>
          <w:sz w:val="24"/>
          <w:lang w:eastAsia="zh-CN"/>
        </w:rPr>
        <w:t>甲方</w:t>
      </w:r>
      <w:r>
        <w:rPr>
          <w:rFonts w:hint="eastAsia" w:ascii="宋体" w:hAnsi="宋体" w:cs="宋体"/>
          <w:color w:val="auto"/>
          <w:sz w:val="24"/>
        </w:rPr>
        <w:t>提出要求后2小时内给予答复，仪器出现故障后的48小时内派人到达现场维修（不可抗拒原因除外），及时帮助用户解决问题。</w:t>
      </w:r>
      <w:bookmarkEnd w:id="218"/>
    </w:p>
    <w:p>
      <w:pPr>
        <w:pStyle w:val="17"/>
        <w:spacing w:line="360" w:lineRule="auto"/>
        <w:ind w:firstLine="240" w:firstLineChars="100"/>
        <w:jc w:val="left"/>
        <w:outlineLvl w:val="1"/>
        <w:rPr>
          <w:rFonts w:hAnsi="宋体"/>
          <w:bCs/>
          <w:color w:val="auto"/>
          <w:sz w:val="24"/>
        </w:rPr>
      </w:pPr>
      <w:bookmarkStart w:id="219" w:name="_Toc495"/>
      <w:r>
        <w:rPr>
          <w:rFonts w:hint="eastAsia" w:hAnsi="宋体"/>
          <w:bCs/>
          <w:color w:val="auto"/>
          <w:sz w:val="24"/>
          <w:lang w:eastAsia="zh-CN"/>
        </w:rPr>
        <w:t>9.</w:t>
      </w:r>
      <w:r>
        <w:rPr>
          <w:rFonts w:hint="eastAsia" w:hAnsi="宋体"/>
          <w:bCs/>
          <w:color w:val="auto"/>
          <w:sz w:val="24"/>
        </w:rPr>
        <w:t>5</w:t>
      </w:r>
      <w:r>
        <w:rPr>
          <w:rFonts w:hint="eastAsia" w:hAnsi="宋体"/>
          <w:bCs/>
          <w:color w:val="auto"/>
          <w:sz w:val="24"/>
          <w:lang w:eastAsia="zh-CN"/>
        </w:rPr>
        <w:t>乙方</w:t>
      </w:r>
      <w:r>
        <w:rPr>
          <w:rFonts w:hint="eastAsia" w:hAnsi="宋体" w:cs="宋体"/>
          <w:color w:val="auto"/>
          <w:sz w:val="24"/>
          <w:szCs w:val="24"/>
        </w:rPr>
        <w:t>应在供货时向</w:t>
      </w:r>
      <w:r>
        <w:rPr>
          <w:rFonts w:hint="eastAsia" w:hAnsi="宋体" w:cs="宋体"/>
          <w:color w:val="auto"/>
          <w:sz w:val="24"/>
          <w:szCs w:val="24"/>
          <w:lang w:eastAsia="zh-CN"/>
        </w:rPr>
        <w:t>甲方</w:t>
      </w:r>
      <w:r>
        <w:rPr>
          <w:rFonts w:hint="eastAsia" w:hAnsi="宋体" w:cs="宋体"/>
          <w:color w:val="auto"/>
          <w:sz w:val="24"/>
          <w:szCs w:val="24"/>
        </w:rPr>
        <w:t>提供完整的原版技术资料一套，内容包括产品彩页原件、使用说明书、通讯协议说明书,质控手册,维修手册、常用易消耗品单价以及合同中要求的其他文件资料等，进口设备须提供中英文说明书及电子版。各项指标和参数应符合验收标准，</w:t>
      </w:r>
      <w:r>
        <w:rPr>
          <w:rFonts w:hint="eastAsia" w:hAnsi="宋体" w:cs="宋体"/>
          <w:color w:val="auto"/>
          <w:sz w:val="24"/>
          <w:szCs w:val="24"/>
          <w:lang w:eastAsia="zh-CN"/>
        </w:rPr>
        <w:t>甲方</w:t>
      </w:r>
      <w:r>
        <w:rPr>
          <w:rFonts w:hint="eastAsia" w:hAnsi="宋体" w:cs="宋体"/>
          <w:color w:val="auto"/>
          <w:sz w:val="24"/>
          <w:szCs w:val="24"/>
        </w:rPr>
        <w:t>有权委托中国有资</w:t>
      </w:r>
      <w:r>
        <w:rPr>
          <w:rFonts w:hint="eastAsia" w:hAnsi="宋体" w:cs="宋体"/>
          <w:color w:val="auto"/>
          <w:sz w:val="24"/>
          <w:szCs w:val="24"/>
          <w:lang w:eastAsia="zh-CN"/>
        </w:rPr>
        <w:t>质</w:t>
      </w:r>
      <w:r>
        <w:rPr>
          <w:rFonts w:hint="eastAsia" w:hAnsi="宋体" w:cs="宋体"/>
          <w:color w:val="auto"/>
          <w:sz w:val="24"/>
          <w:szCs w:val="24"/>
        </w:rPr>
        <w:t>单位或机构对设备性能、精度进行校核。</w:t>
      </w:r>
      <w:bookmarkEnd w:id="219"/>
    </w:p>
    <w:p>
      <w:pPr>
        <w:pStyle w:val="17"/>
        <w:spacing w:line="360" w:lineRule="auto"/>
        <w:ind w:firstLine="240" w:firstLineChars="100"/>
        <w:jc w:val="left"/>
        <w:outlineLvl w:val="1"/>
        <w:rPr>
          <w:rFonts w:hint="eastAsia" w:hAnsi="宋体"/>
          <w:bCs/>
          <w:color w:val="auto"/>
          <w:sz w:val="24"/>
        </w:rPr>
      </w:pPr>
      <w:bookmarkStart w:id="220" w:name="_Toc14206"/>
      <w:r>
        <w:rPr>
          <w:rFonts w:hint="eastAsia" w:hAnsi="宋体"/>
          <w:bCs/>
          <w:color w:val="auto"/>
          <w:sz w:val="24"/>
          <w:lang w:eastAsia="zh-CN"/>
        </w:rPr>
        <w:t>9.</w:t>
      </w:r>
      <w:r>
        <w:rPr>
          <w:rFonts w:hint="eastAsia" w:hAnsi="宋体"/>
          <w:bCs/>
          <w:color w:val="auto"/>
          <w:sz w:val="24"/>
        </w:rPr>
        <w:t>6</w:t>
      </w:r>
      <w:r>
        <w:rPr>
          <w:rFonts w:hint="eastAsia" w:hAnsi="宋体"/>
          <w:bCs/>
          <w:color w:val="auto"/>
          <w:sz w:val="24"/>
          <w:lang w:eastAsia="zh-CN"/>
        </w:rPr>
        <w:t>乙方</w:t>
      </w:r>
      <w:r>
        <w:rPr>
          <w:rFonts w:hint="eastAsia" w:hAnsi="宋体" w:cs="宋体"/>
          <w:color w:val="auto"/>
          <w:sz w:val="24"/>
          <w:szCs w:val="24"/>
        </w:rPr>
        <w:t>需配合</w:t>
      </w:r>
      <w:r>
        <w:rPr>
          <w:rFonts w:hint="eastAsia" w:hAnsi="宋体" w:cs="宋体"/>
          <w:color w:val="auto"/>
          <w:sz w:val="24"/>
          <w:szCs w:val="24"/>
          <w:lang w:eastAsia="zh-CN"/>
        </w:rPr>
        <w:t>甲方</w:t>
      </w:r>
      <w:r>
        <w:rPr>
          <w:rFonts w:hint="eastAsia" w:hAnsi="宋体" w:cs="宋体"/>
          <w:color w:val="auto"/>
          <w:sz w:val="24"/>
          <w:szCs w:val="24"/>
        </w:rPr>
        <w:t>进行至少一次关于应用、维修、保养方面的免费的集中现场培训。</w:t>
      </w:r>
      <w:bookmarkEnd w:id="220"/>
    </w:p>
    <w:p>
      <w:pPr>
        <w:pStyle w:val="17"/>
        <w:spacing w:line="360" w:lineRule="auto"/>
        <w:ind w:firstLine="240" w:firstLineChars="100"/>
        <w:jc w:val="left"/>
        <w:outlineLvl w:val="1"/>
        <w:rPr>
          <w:rFonts w:hint="eastAsia" w:hAnsi="宋体"/>
          <w:bCs/>
          <w:color w:val="auto"/>
          <w:sz w:val="24"/>
        </w:rPr>
      </w:pPr>
      <w:bookmarkStart w:id="221" w:name="_Toc7352"/>
      <w:r>
        <w:rPr>
          <w:rFonts w:hint="eastAsia" w:hAnsi="宋体"/>
          <w:bCs/>
          <w:color w:val="auto"/>
          <w:sz w:val="24"/>
          <w:lang w:eastAsia="zh-CN"/>
        </w:rPr>
        <w:t>9.</w:t>
      </w:r>
      <w:r>
        <w:rPr>
          <w:rFonts w:hint="eastAsia" w:hAnsi="宋体"/>
          <w:bCs/>
          <w:color w:val="auto"/>
          <w:sz w:val="24"/>
        </w:rPr>
        <w:t>7</w:t>
      </w:r>
      <w:r>
        <w:rPr>
          <w:rFonts w:hint="eastAsia" w:hAnsi="宋体"/>
          <w:bCs/>
          <w:color w:val="auto"/>
          <w:sz w:val="24"/>
          <w:lang w:eastAsia="zh-CN"/>
        </w:rPr>
        <w:t>乙方</w:t>
      </w:r>
      <w:r>
        <w:rPr>
          <w:rFonts w:hint="eastAsia" w:hAnsi="宋体" w:cs="宋体"/>
          <w:color w:val="auto"/>
          <w:sz w:val="24"/>
          <w:szCs w:val="24"/>
        </w:rPr>
        <w:t>应结合设备的安装、调试及试运行过程，进行免费的现场培训。</w:t>
      </w:r>
      <w:bookmarkEnd w:id="221"/>
    </w:p>
    <w:p>
      <w:pPr>
        <w:pStyle w:val="17"/>
        <w:spacing w:line="360" w:lineRule="auto"/>
        <w:ind w:firstLine="240" w:firstLineChars="100"/>
        <w:jc w:val="left"/>
        <w:outlineLvl w:val="1"/>
        <w:rPr>
          <w:rFonts w:hAnsi="宋体"/>
          <w:bCs/>
          <w:color w:val="auto"/>
          <w:sz w:val="24"/>
        </w:rPr>
      </w:pPr>
      <w:bookmarkStart w:id="222" w:name="_Toc5448"/>
      <w:r>
        <w:rPr>
          <w:rFonts w:hint="eastAsia" w:hAnsi="宋体"/>
          <w:bCs/>
          <w:color w:val="auto"/>
          <w:sz w:val="24"/>
          <w:lang w:val="en-US" w:eastAsia="zh-CN"/>
        </w:rPr>
        <w:t>9.8</w:t>
      </w:r>
      <w:r>
        <w:rPr>
          <w:rFonts w:hint="eastAsia" w:hAnsi="宋体"/>
          <w:bCs/>
          <w:color w:val="auto"/>
          <w:sz w:val="24"/>
          <w:lang w:eastAsia="zh-CN"/>
        </w:rPr>
        <w:t>乙方</w:t>
      </w:r>
      <w:r>
        <w:rPr>
          <w:rFonts w:hint="eastAsia" w:hAnsi="宋体"/>
          <w:bCs/>
          <w:color w:val="auto"/>
          <w:sz w:val="24"/>
        </w:rPr>
        <w:t>在</w:t>
      </w:r>
      <w:r>
        <w:rPr>
          <w:rFonts w:hint="eastAsia" w:hAnsi="宋体"/>
          <w:bCs/>
          <w:color w:val="auto"/>
          <w:sz w:val="24"/>
          <w:lang w:val="en-US" w:eastAsia="zh-CN"/>
        </w:rPr>
        <w:t>询价响应文件</w:t>
      </w:r>
      <w:r>
        <w:rPr>
          <w:rFonts w:hint="eastAsia" w:hAnsi="宋体"/>
          <w:bCs/>
          <w:color w:val="auto"/>
          <w:sz w:val="24"/>
        </w:rPr>
        <w:t>中必须对质保期和售后服务作出承诺，包括但不限于</w:t>
      </w:r>
      <w:r>
        <w:rPr>
          <w:rFonts w:hint="eastAsia" w:hAnsi="宋体"/>
          <w:bCs/>
          <w:color w:val="auto"/>
          <w:sz w:val="24"/>
          <w:lang w:val="en-US" w:eastAsia="zh-CN"/>
        </w:rPr>
        <w:t>询价通知书</w:t>
      </w:r>
      <w:r>
        <w:rPr>
          <w:rFonts w:hint="eastAsia" w:hAnsi="宋体"/>
          <w:bCs/>
          <w:color w:val="auto"/>
          <w:sz w:val="24"/>
        </w:rPr>
        <w:t>有关的内容。</w:t>
      </w:r>
      <w:bookmarkEnd w:id="216"/>
      <w:bookmarkEnd w:id="222"/>
    </w:p>
    <w:p>
      <w:pPr>
        <w:pStyle w:val="17"/>
        <w:spacing w:line="360" w:lineRule="auto"/>
        <w:jc w:val="left"/>
        <w:outlineLvl w:val="1"/>
        <w:rPr>
          <w:rFonts w:hAnsi="宋体"/>
          <w:bCs/>
          <w:color w:val="auto"/>
          <w:sz w:val="24"/>
        </w:rPr>
      </w:pPr>
      <w:bookmarkStart w:id="223" w:name="_Toc21055"/>
      <w:bookmarkStart w:id="224" w:name="_Toc17678"/>
      <w:r>
        <w:rPr>
          <w:rFonts w:hint="eastAsia" w:hAnsi="宋体"/>
          <w:bCs/>
          <w:color w:val="auto"/>
          <w:sz w:val="24"/>
        </w:rPr>
        <w:t>10、技术培训</w:t>
      </w:r>
      <w:bookmarkEnd w:id="223"/>
      <w:bookmarkEnd w:id="224"/>
    </w:p>
    <w:p>
      <w:pPr>
        <w:pStyle w:val="17"/>
        <w:spacing w:line="360" w:lineRule="auto"/>
        <w:ind w:firstLine="240" w:firstLineChars="100"/>
        <w:jc w:val="left"/>
        <w:outlineLvl w:val="1"/>
        <w:rPr>
          <w:rFonts w:hAnsi="宋体"/>
          <w:bCs/>
          <w:color w:val="auto"/>
          <w:sz w:val="24"/>
        </w:rPr>
      </w:pPr>
      <w:bookmarkStart w:id="225" w:name="_Toc21462"/>
      <w:bookmarkStart w:id="226" w:name="_Toc29393"/>
      <w:r>
        <w:rPr>
          <w:rFonts w:hint="eastAsia" w:hAnsi="宋体"/>
          <w:bCs/>
          <w:color w:val="auto"/>
          <w:sz w:val="24"/>
        </w:rPr>
        <w:t>10.1乙方应免费对甲方的技术人员进行操作和维修培训。乙方派出的培训教员，应对所提供的系统和设备具有三年以上操作和维修经验。</w:t>
      </w:r>
      <w:bookmarkEnd w:id="225"/>
      <w:bookmarkEnd w:id="226"/>
    </w:p>
    <w:p>
      <w:pPr>
        <w:pStyle w:val="17"/>
        <w:spacing w:line="360" w:lineRule="auto"/>
        <w:ind w:firstLine="240" w:firstLineChars="100"/>
        <w:jc w:val="left"/>
        <w:outlineLvl w:val="1"/>
        <w:rPr>
          <w:rFonts w:hAnsi="宋体"/>
          <w:bCs/>
          <w:color w:val="auto"/>
          <w:sz w:val="24"/>
        </w:rPr>
      </w:pPr>
      <w:bookmarkStart w:id="227" w:name="_Toc22008"/>
      <w:bookmarkStart w:id="228" w:name="_Toc6270"/>
      <w:r>
        <w:rPr>
          <w:rFonts w:hint="eastAsia" w:hAnsi="宋体"/>
          <w:bCs/>
          <w:color w:val="auto"/>
          <w:sz w:val="24"/>
        </w:rPr>
        <w:t>10.2现场培训：乙方应在系统开通后试运行期间为甲方技术人员进行现场培训，在培训工作开始前乙方应向甲方免费提供所有中文培训资料，包括操作、维修手册，要求受训人员能够了解系统及设备的基本结构、工作原理及操作程序，能进行实际操作和日常维护、排除一般故障。</w:t>
      </w:r>
      <w:bookmarkEnd w:id="227"/>
      <w:bookmarkEnd w:id="228"/>
    </w:p>
    <w:p>
      <w:pPr>
        <w:pStyle w:val="17"/>
        <w:spacing w:line="360" w:lineRule="auto"/>
        <w:ind w:firstLine="240" w:firstLineChars="100"/>
        <w:jc w:val="left"/>
        <w:outlineLvl w:val="1"/>
        <w:rPr>
          <w:rFonts w:hAnsi="宋体"/>
          <w:bCs/>
          <w:color w:val="auto"/>
          <w:sz w:val="24"/>
        </w:rPr>
      </w:pPr>
      <w:bookmarkStart w:id="229" w:name="_Toc17835"/>
      <w:bookmarkStart w:id="230" w:name="_Toc15393"/>
      <w:r>
        <w:rPr>
          <w:rFonts w:hint="eastAsia" w:hAnsi="宋体"/>
          <w:bCs/>
          <w:color w:val="auto"/>
          <w:sz w:val="24"/>
        </w:rPr>
        <w:t>10.3专用工具</w:t>
      </w:r>
      <w:bookmarkEnd w:id="229"/>
      <w:bookmarkEnd w:id="230"/>
    </w:p>
    <w:p>
      <w:pPr>
        <w:pStyle w:val="17"/>
        <w:spacing w:line="360" w:lineRule="auto"/>
        <w:jc w:val="left"/>
        <w:outlineLvl w:val="1"/>
        <w:rPr>
          <w:rFonts w:hAnsi="宋体"/>
          <w:color w:val="auto"/>
          <w:sz w:val="24"/>
        </w:rPr>
      </w:pPr>
      <w:bookmarkStart w:id="231" w:name="_Toc1643"/>
      <w:bookmarkStart w:id="232" w:name="_Toc7164"/>
      <w:r>
        <w:rPr>
          <w:rFonts w:hint="eastAsia" w:hAnsi="宋体"/>
          <w:bCs/>
          <w:color w:val="auto"/>
          <w:sz w:val="24"/>
        </w:rPr>
        <w:t>乙方应向甲方提供一套维修所需的专用工具及清单(清单附在</w:t>
      </w:r>
      <w:r>
        <w:rPr>
          <w:rFonts w:hint="eastAsia" w:hAnsi="宋体"/>
          <w:bCs/>
          <w:color w:val="auto"/>
          <w:sz w:val="24"/>
          <w:lang w:eastAsia="zh-CN"/>
        </w:rPr>
        <w:t>询价响应文件</w:t>
      </w:r>
      <w:r>
        <w:rPr>
          <w:rFonts w:hint="eastAsia" w:hAnsi="宋体"/>
          <w:bCs/>
          <w:color w:val="auto"/>
          <w:sz w:val="24"/>
        </w:rPr>
        <w:t>中)，其费用包括在投标总价中。</w:t>
      </w:r>
      <w:bookmarkEnd w:id="231"/>
      <w:bookmarkEnd w:id="232"/>
    </w:p>
    <w:p>
      <w:pPr>
        <w:spacing w:line="440" w:lineRule="exact"/>
        <w:rPr>
          <w:rFonts w:ascii="宋体"/>
          <w:color w:val="auto"/>
          <w:sz w:val="24"/>
        </w:rPr>
      </w:pPr>
      <w:r>
        <w:rPr>
          <w:rFonts w:hint="eastAsia" w:ascii="宋体" w:hAnsi="宋体"/>
          <w:color w:val="auto"/>
          <w:sz w:val="24"/>
        </w:rPr>
        <w:t>11、知识产权：</w:t>
      </w:r>
    </w:p>
    <w:p>
      <w:pPr>
        <w:spacing w:line="440" w:lineRule="exact"/>
        <w:ind w:firstLine="480"/>
        <w:rPr>
          <w:rFonts w:ascii="宋体"/>
          <w:color w:val="auto"/>
          <w:sz w:val="24"/>
        </w:rPr>
      </w:pPr>
      <w:r>
        <w:rPr>
          <w:rFonts w:hint="eastAsia" w:ascii="宋体" w:hAnsi="宋体"/>
          <w:color w:val="auto"/>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440" w:lineRule="exact"/>
        <w:rPr>
          <w:rFonts w:ascii="宋体"/>
          <w:color w:val="auto"/>
          <w:sz w:val="24"/>
        </w:rPr>
      </w:pPr>
      <w:r>
        <w:rPr>
          <w:rFonts w:ascii="宋体" w:hAnsi="宋体"/>
          <w:color w:val="auto"/>
          <w:sz w:val="24"/>
        </w:rPr>
        <w:t>1</w:t>
      </w:r>
      <w:r>
        <w:rPr>
          <w:rFonts w:hint="eastAsia" w:ascii="宋体" w:hAnsi="宋体"/>
          <w:color w:val="auto"/>
          <w:sz w:val="24"/>
        </w:rPr>
        <w:t>2、违约责任</w:t>
      </w:r>
    </w:p>
    <w:p>
      <w:pPr>
        <w:spacing w:line="440" w:lineRule="exact"/>
        <w:rPr>
          <w:rFonts w:ascii="宋体"/>
          <w:color w:val="auto"/>
          <w:sz w:val="24"/>
        </w:rPr>
      </w:pPr>
      <w:r>
        <w:rPr>
          <w:rFonts w:ascii="宋体" w:hAnsi="宋体"/>
          <w:color w:val="auto"/>
          <w:sz w:val="24"/>
        </w:rPr>
        <w:t xml:space="preserve">    1</w:t>
      </w:r>
      <w:r>
        <w:rPr>
          <w:rFonts w:hint="eastAsia" w:ascii="宋体" w:hAnsi="宋体"/>
          <w:color w:val="auto"/>
          <w:sz w:val="24"/>
        </w:rPr>
        <w:t>2</w:t>
      </w:r>
      <w:r>
        <w:rPr>
          <w:rFonts w:ascii="宋体" w:hAnsi="宋体"/>
          <w:color w:val="auto"/>
          <w:sz w:val="24"/>
        </w:rPr>
        <w:t>.1</w:t>
      </w:r>
      <w:r>
        <w:rPr>
          <w:rFonts w:hint="eastAsia" w:ascii="宋体" w:hAnsi="宋体"/>
          <w:color w:val="auto"/>
          <w:sz w:val="24"/>
        </w:rPr>
        <w:t>违约责任</w:t>
      </w:r>
    </w:p>
    <w:p>
      <w:pPr>
        <w:spacing w:line="360" w:lineRule="auto"/>
        <w:ind w:firstLine="480" w:firstLineChars="200"/>
        <w:rPr>
          <w:rFonts w:ascii="宋体"/>
          <w:bCs/>
          <w:color w:val="auto"/>
          <w:sz w:val="24"/>
        </w:rPr>
      </w:pPr>
      <w:r>
        <w:rPr>
          <w:rFonts w:ascii="宋体" w:hAnsi="宋体"/>
          <w:bCs/>
          <w:color w:val="auto"/>
          <w:sz w:val="24"/>
        </w:rPr>
        <w:t>1</w:t>
      </w:r>
      <w:r>
        <w:rPr>
          <w:rFonts w:hint="eastAsia" w:ascii="宋体" w:hAnsi="宋体"/>
          <w:bCs/>
          <w:color w:val="auto"/>
          <w:sz w:val="24"/>
        </w:rPr>
        <w:t>2</w:t>
      </w:r>
      <w:r>
        <w:rPr>
          <w:rFonts w:ascii="宋体" w:hAnsi="宋体"/>
          <w:bCs/>
          <w:color w:val="auto"/>
          <w:sz w:val="24"/>
        </w:rPr>
        <w:t>.1</w:t>
      </w:r>
      <w:r>
        <w:rPr>
          <w:rFonts w:hint="eastAsia" w:ascii="宋体" w:hAnsi="宋体"/>
          <w:bCs/>
          <w:color w:val="auto"/>
          <w:sz w:val="24"/>
        </w:rPr>
        <w:t>、除不可抗力或因项目甲方原因造成的阻止、障碍而导致的工期延误外，乙方不能按合同工期完工应承担违约责任，并向甲方赔偿违约金。违约金赔偿办法为：工程每逾期一天，赔偿违约金人民币</w:t>
      </w:r>
      <w:r>
        <w:rPr>
          <w:rFonts w:ascii="宋体" w:hAnsi="宋体"/>
          <w:bCs/>
          <w:color w:val="auto"/>
          <w:sz w:val="24"/>
        </w:rPr>
        <w:t>10</w:t>
      </w:r>
      <w:r>
        <w:rPr>
          <w:rFonts w:ascii="宋体"/>
          <w:bCs/>
          <w:color w:val="auto"/>
          <w:sz w:val="24"/>
        </w:rPr>
        <w:t>00</w:t>
      </w:r>
      <w:r>
        <w:rPr>
          <w:rFonts w:hint="eastAsia" w:ascii="宋体" w:hAnsi="宋体"/>
          <w:bCs/>
          <w:color w:val="auto"/>
          <w:sz w:val="24"/>
        </w:rPr>
        <w:t>元</w:t>
      </w:r>
      <w:r>
        <w:rPr>
          <w:rFonts w:ascii="宋体" w:hAnsi="宋体"/>
          <w:bCs/>
          <w:color w:val="auto"/>
          <w:sz w:val="24"/>
        </w:rPr>
        <w:t>/</w:t>
      </w:r>
      <w:r>
        <w:rPr>
          <w:rFonts w:hint="eastAsia" w:ascii="宋体" w:hAnsi="宋体"/>
          <w:bCs/>
          <w:color w:val="auto"/>
          <w:sz w:val="24"/>
        </w:rPr>
        <w:t>天，赔偿上限为合同金额的</w:t>
      </w:r>
      <w:r>
        <w:rPr>
          <w:rFonts w:ascii="宋体" w:hAnsi="宋体"/>
          <w:bCs/>
          <w:color w:val="auto"/>
          <w:sz w:val="24"/>
        </w:rPr>
        <w:t>3%</w:t>
      </w:r>
      <w:r>
        <w:rPr>
          <w:rFonts w:hint="eastAsia" w:ascii="宋体" w:hAnsi="宋体"/>
          <w:bCs/>
          <w:color w:val="auto"/>
          <w:sz w:val="24"/>
        </w:rPr>
        <w:t>。违约赔偿金以现金或转帐形式向甲方缴交。</w:t>
      </w:r>
    </w:p>
    <w:p>
      <w:pPr>
        <w:spacing w:line="360" w:lineRule="auto"/>
        <w:ind w:firstLine="480" w:firstLineChars="200"/>
        <w:rPr>
          <w:rFonts w:ascii="宋体"/>
          <w:bCs/>
          <w:color w:val="auto"/>
          <w:sz w:val="24"/>
        </w:rPr>
      </w:pPr>
      <w:r>
        <w:rPr>
          <w:rFonts w:ascii="宋体" w:hAnsi="宋体"/>
          <w:bCs/>
          <w:color w:val="auto"/>
          <w:sz w:val="24"/>
        </w:rPr>
        <w:t>1</w:t>
      </w:r>
      <w:r>
        <w:rPr>
          <w:rFonts w:hint="eastAsia" w:ascii="宋体" w:hAnsi="宋体"/>
          <w:bCs/>
          <w:color w:val="auto"/>
          <w:sz w:val="24"/>
        </w:rPr>
        <w:t>2</w:t>
      </w:r>
      <w:r>
        <w:rPr>
          <w:rFonts w:ascii="宋体" w:hAnsi="宋体"/>
          <w:bCs/>
          <w:color w:val="auto"/>
          <w:sz w:val="24"/>
        </w:rPr>
        <w:t>.2</w:t>
      </w:r>
      <w:r>
        <w:rPr>
          <w:rFonts w:hint="eastAsia" w:ascii="宋体" w:hAnsi="宋体"/>
          <w:bCs/>
          <w:color w:val="auto"/>
          <w:sz w:val="24"/>
        </w:rPr>
        <w:t>若乙方提供的产品不符合投标（招标）时的技术参数要求不一致，乙方应向甲方支付</w:t>
      </w:r>
      <w:r>
        <w:rPr>
          <w:rFonts w:ascii="宋体" w:hAnsi="宋体"/>
          <w:bCs/>
          <w:color w:val="auto"/>
          <w:sz w:val="24"/>
        </w:rPr>
        <w:t>1-5</w:t>
      </w:r>
      <w:r>
        <w:rPr>
          <w:rFonts w:hint="eastAsia" w:ascii="宋体" w:hAnsi="宋体"/>
          <w:bCs/>
          <w:color w:val="auto"/>
          <w:sz w:val="24"/>
        </w:rPr>
        <w:t>万元的违约金并无条件更换符合要求的新产品。</w:t>
      </w:r>
    </w:p>
    <w:p>
      <w:pPr>
        <w:spacing w:line="440" w:lineRule="exact"/>
        <w:rPr>
          <w:rFonts w:hint="eastAsia" w:ascii="宋体" w:hAnsi="宋体"/>
          <w:color w:val="auto"/>
          <w:sz w:val="24"/>
        </w:rPr>
      </w:pPr>
      <w:r>
        <w:rPr>
          <w:rFonts w:ascii="宋体" w:hAnsi="宋体"/>
          <w:bCs/>
          <w:color w:val="auto"/>
          <w:sz w:val="24"/>
        </w:rPr>
        <w:t>1</w:t>
      </w:r>
      <w:r>
        <w:rPr>
          <w:rFonts w:hint="eastAsia" w:ascii="宋体" w:hAnsi="宋体"/>
          <w:bCs/>
          <w:color w:val="auto"/>
          <w:sz w:val="24"/>
        </w:rPr>
        <w:t>2</w:t>
      </w:r>
      <w:r>
        <w:rPr>
          <w:rFonts w:ascii="宋体" w:hAnsi="宋体"/>
          <w:bCs/>
          <w:color w:val="auto"/>
          <w:sz w:val="24"/>
        </w:rPr>
        <w:t>.3</w:t>
      </w:r>
      <w:r>
        <w:rPr>
          <w:rFonts w:hint="eastAsia" w:ascii="宋体" w:hAnsi="宋体"/>
          <w:bCs/>
          <w:color w:val="auto"/>
          <w:sz w:val="24"/>
        </w:rPr>
        <w:t>、甲方无正当理由不接收或不及时验收的，乙方有权向本项目的行政监督部门反馈，</w:t>
      </w:r>
      <w:r>
        <w:rPr>
          <w:rFonts w:hint="eastAsia" w:ascii="宋体" w:hAnsi="宋体"/>
          <w:color w:val="auto"/>
          <w:sz w:val="24"/>
        </w:rPr>
        <w:t>并申请协调处理。若造成乙方损失的，按有关规定由甲方赔偿乙方损失。</w:t>
      </w:r>
    </w:p>
    <w:p>
      <w:pPr>
        <w:spacing w:line="440" w:lineRule="exact"/>
        <w:rPr>
          <w:rFonts w:ascii="宋体"/>
          <w:color w:val="auto"/>
          <w:sz w:val="24"/>
        </w:rPr>
      </w:pPr>
      <w:r>
        <w:rPr>
          <w:rFonts w:ascii="宋体" w:hAnsi="宋体"/>
          <w:color w:val="auto"/>
          <w:sz w:val="24"/>
        </w:rPr>
        <w:t>1</w:t>
      </w:r>
      <w:r>
        <w:rPr>
          <w:rFonts w:hint="eastAsia" w:ascii="宋体" w:hAnsi="宋体"/>
          <w:color w:val="auto"/>
          <w:sz w:val="24"/>
        </w:rPr>
        <w:t>3、违约终止合同</w:t>
      </w:r>
    </w:p>
    <w:p>
      <w:pPr>
        <w:spacing w:line="440" w:lineRule="exact"/>
        <w:rPr>
          <w:rFonts w:asci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.1</w:t>
      </w:r>
      <w:r>
        <w:rPr>
          <w:rFonts w:hint="eastAsia" w:ascii="宋体" w:hAnsi="宋体"/>
          <w:color w:val="auto"/>
          <w:sz w:val="24"/>
        </w:rPr>
        <w:t>在补救违约而采取的任何其他措施未能实现的情况下，即在甲方发出的违约通知后</w:t>
      </w:r>
      <w:r>
        <w:rPr>
          <w:rFonts w:ascii="宋体" w:hAnsi="宋体"/>
          <w:color w:val="auto"/>
          <w:sz w:val="24"/>
        </w:rPr>
        <w:t>30</w:t>
      </w:r>
      <w:r>
        <w:rPr>
          <w:rFonts w:hint="eastAsia" w:ascii="宋体" w:hAnsi="宋体"/>
          <w:color w:val="auto"/>
          <w:sz w:val="24"/>
        </w:rPr>
        <w:t>天内（或经甲方书面确认的更长时间内）仍未纠正其下述任何一种违约行为，甲方有权向乙方发出书面违约通知，甲方终止本合同：</w:t>
      </w:r>
      <w:r>
        <w:rPr>
          <w:rFonts w:ascii="宋体" w:hAnsi="宋体"/>
          <w:color w:val="auto"/>
          <w:sz w:val="24"/>
        </w:rPr>
        <w:t xml:space="preserve">  </w:t>
      </w:r>
    </w:p>
    <w:p>
      <w:pPr>
        <w:spacing w:line="440" w:lineRule="exact"/>
        <w:rPr>
          <w:rFonts w:asci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.1.1</w:t>
      </w:r>
      <w:r>
        <w:rPr>
          <w:rFonts w:hint="eastAsia" w:ascii="宋体" w:hAnsi="宋体"/>
          <w:color w:val="auto"/>
          <w:sz w:val="24"/>
        </w:rPr>
        <w:t>如果乙方未能在合同规定的期限内或双方另行确定的延期交货时间内交付合同约定的货物。</w:t>
      </w:r>
    </w:p>
    <w:p>
      <w:pPr>
        <w:spacing w:line="440" w:lineRule="exact"/>
        <w:rPr>
          <w:rFonts w:ascii="宋体"/>
          <w:color w:val="auto"/>
          <w:sz w:val="24"/>
        </w:rPr>
      </w:pPr>
      <w:r>
        <w:rPr>
          <w:rFonts w:ascii="宋体" w:hAnsi="宋体"/>
          <w:color w:val="auto"/>
          <w:sz w:val="24"/>
        </w:rPr>
        <w:t>1</w:t>
      </w:r>
      <w:r>
        <w:rPr>
          <w:rFonts w:hint="eastAsia" w:ascii="宋体" w:hAnsi="宋体"/>
          <w:color w:val="auto"/>
          <w:sz w:val="24"/>
        </w:rPr>
        <w:t>3</w:t>
      </w:r>
      <w:r>
        <w:rPr>
          <w:rFonts w:ascii="宋体" w:hAnsi="宋体"/>
          <w:color w:val="auto"/>
          <w:sz w:val="24"/>
        </w:rPr>
        <w:t>.1.2</w:t>
      </w:r>
      <w:r>
        <w:rPr>
          <w:rFonts w:hint="eastAsia" w:ascii="宋体" w:hAnsi="宋体"/>
          <w:color w:val="auto"/>
          <w:sz w:val="24"/>
        </w:rPr>
        <w:t>乙方未能履行合同项下的任何其它义务。</w:t>
      </w:r>
    </w:p>
    <w:p>
      <w:pPr>
        <w:spacing w:line="440" w:lineRule="exact"/>
        <w:ind w:firstLine="120"/>
        <w:rPr>
          <w:rFonts w:ascii="宋体"/>
          <w:color w:val="auto"/>
          <w:sz w:val="24"/>
        </w:rPr>
      </w:pPr>
      <w:r>
        <w:rPr>
          <w:rFonts w:ascii="宋体" w:hAnsi="宋体"/>
          <w:color w:val="auto"/>
          <w:sz w:val="24"/>
        </w:rPr>
        <w:t>1</w:t>
      </w:r>
      <w:r>
        <w:rPr>
          <w:rFonts w:hint="eastAsia" w:ascii="宋体" w:hAnsi="宋体"/>
          <w:color w:val="auto"/>
          <w:sz w:val="24"/>
        </w:rPr>
        <w:t>4、不可抗力</w:t>
      </w:r>
    </w:p>
    <w:p>
      <w:pPr>
        <w:spacing w:line="440" w:lineRule="exact"/>
        <w:ind w:firstLine="480"/>
        <w:rPr>
          <w:rFonts w:ascii="宋体"/>
          <w:color w:val="auto"/>
          <w:sz w:val="24"/>
        </w:rPr>
      </w:pPr>
      <w:r>
        <w:rPr>
          <w:rFonts w:hint="eastAsia" w:ascii="宋体" w:hAnsi="宋体"/>
          <w:color w:val="auto"/>
          <w:sz w:val="24"/>
        </w:rPr>
        <w:t>因不可抗力造成违约的，遭受不可抗力一方应及时向对方通报不能履行或不能完全履行的理由，并在随后取得有关主管机关证明后的</w:t>
      </w:r>
      <w:r>
        <w:rPr>
          <w:rFonts w:ascii="宋体" w:hAnsi="宋体"/>
          <w:color w:val="auto"/>
          <w:sz w:val="24"/>
        </w:rPr>
        <w:t>15</w:t>
      </w:r>
      <w:r>
        <w:rPr>
          <w:rFonts w:hint="eastAsia" w:ascii="宋体" w:hAnsi="宋体"/>
          <w:color w:val="auto"/>
          <w:sz w:val="24"/>
        </w:rPr>
        <w:t>日内向另一方提供不可抗力发生以及持续期间的充分证据。基本于以上行为，允许遭受不可抗力一方延期履行、部分履行或者不履行合同，并根据情况可部分或全部免于承担违约责任。</w:t>
      </w:r>
    </w:p>
    <w:p>
      <w:pPr>
        <w:spacing w:line="440" w:lineRule="exact"/>
        <w:ind w:firstLine="600"/>
        <w:rPr>
          <w:rFonts w:ascii="宋体"/>
          <w:color w:val="auto"/>
          <w:sz w:val="24"/>
        </w:rPr>
      </w:pPr>
      <w:r>
        <w:rPr>
          <w:rFonts w:hint="eastAsia" w:ascii="宋体" w:hAnsi="宋体"/>
          <w:color w:val="auto"/>
          <w:sz w:val="24"/>
        </w:rPr>
        <w:t>本合同中的不可抗力指不能预见、不能避免并不能克服的客观情况。包括但不限于：自然灾害如地震、台风、洪水、火灾；政府行为、法律规定或其适用的变化或者其他任何无法预见、避免或者控制的事件。</w:t>
      </w:r>
    </w:p>
    <w:p>
      <w:pPr>
        <w:spacing w:line="440" w:lineRule="exact"/>
        <w:ind w:firstLine="120"/>
        <w:rPr>
          <w:rFonts w:ascii="宋体"/>
          <w:color w:val="auto"/>
          <w:sz w:val="24"/>
        </w:rPr>
      </w:pPr>
      <w:r>
        <w:rPr>
          <w:rFonts w:ascii="宋体" w:hAnsi="宋体"/>
          <w:color w:val="auto"/>
          <w:sz w:val="24"/>
        </w:rPr>
        <w:t>1</w:t>
      </w:r>
      <w:r>
        <w:rPr>
          <w:rFonts w:hint="eastAsia" w:ascii="宋体" w:hAnsi="宋体"/>
          <w:color w:val="auto"/>
          <w:sz w:val="24"/>
        </w:rPr>
        <w:t>5、合同纠纷处理方式：因本合同或与本合同有关的一切事项发生争议，由双方友好协商解决。协商不成的，任何一方均可选择以下</w:t>
      </w:r>
      <w:r>
        <w:rPr>
          <w:rFonts w:hint="eastAsia" w:ascii="宋体" w:hAnsi="宋体"/>
          <w:color w:val="auto"/>
          <w:sz w:val="24"/>
          <w:lang w:val="en-US" w:eastAsia="zh-CN"/>
        </w:rPr>
        <w:t>第（2）种</w:t>
      </w:r>
      <w:r>
        <w:rPr>
          <w:rFonts w:hint="eastAsia" w:ascii="宋体" w:hAnsi="宋体"/>
          <w:color w:val="auto"/>
          <w:sz w:val="24"/>
        </w:rPr>
        <w:t>方式解决：</w:t>
      </w:r>
    </w:p>
    <w:p>
      <w:pPr>
        <w:spacing w:line="440" w:lineRule="exact"/>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）向</w:t>
      </w:r>
      <w:r>
        <w:rPr>
          <w:rFonts w:ascii="宋体" w:hAnsi="宋体"/>
          <w:color w:val="auto"/>
          <w:sz w:val="24"/>
        </w:rPr>
        <w:t xml:space="preserve"> </w:t>
      </w:r>
      <w:r>
        <w:rPr>
          <w:rFonts w:hint="eastAsia" w:ascii="宋体" w:hAnsi="宋体"/>
          <w:color w:val="auto"/>
          <w:sz w:val="24"/>
          <w:u w:val="single"/>
          <w:lang w:val="en-US" w:eastAsia="zh-CN"/>
        </w:rPr>
        <w:t>/</w:t>
      </w:r>
      <w:r>
        <w:rPr>
          <w:rFonts w:hint="eastAsia" w:ascii="宋体" w:hAnsi="宋体"/>
          <w:color w:val="auto"/>
          <w:sz w:val="24"/>
        </w:rPr>
        <w:t>仲裁委员会申请仲裁；</w:t>
      </w:r>
    </w:p>
    <w:p>
      <w:pPr>
        <w:spacing w:line="440" w:lineRule="exact"/>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）向有管辖权的人民法院提起诉讼。</w:t>
      </w:r>
    </w:p>
    <w:p>
      <w:pPr>
        <w:spacing w:line="440" w:lineRule="exact"/>
        <w:ind w:firstLine="120"/>
        <w:rPr>
          <w:rFonts w:ascii="宋体"/>
          <w:color w:val="auto"/>
          <w:sz w:val="24"/>
        </w:rPr>
      </w:pPr>
      <w:r>
        <w:rPr>
          <w:rFonts w:ascii="宋体" w:hAnsi="宋体"/>
          <w:color w:val="auto"/>
          <w:sz w:val="24"/>
        </w:rPr>
        <w:t>1</w:t>
      </w:r>
      <w:r>
        <w:rPr>
          <w:rFonts w:hint="eastAsia" w:ascii="宋体" w:hAnsi="宋体"/>
          <w:color w:val="auto"/>
          <w:sz w:val="24"/>
        </w:rPr>
        <w:t>6、其他约定</w:t>
      </w:r>
    </w:p>
    <w:p>
      <w:pPr>
        <w:spacing w:line="440" w:lineRule="exact"/>
        <w:ind w:firstLine="600"/>
        <w:rPr>
          <w:rFonts w:ascii="宋体"/>
          <w:color w:val="auto"/>
          <w:sz w:val="24"/>
        </w:rPr>
      </w:pPr>
      <w:r>
        <w:rPr>
          <w:rFonts w:ascii="宋体" w:hAnsi="宋体"/>
          <w:color w:val="auto"/>
          <w:sz w:val="24"/>
        </w:rPr>
        <w:t>1</w:t>
      </w:r>
      <w:r>
        <w:rPr>
          <w:rFonts w:hint="eastAsia" w:ascii="宋体" w:hAnsi="宋体"/>
          <w:color w:val="auto"/>
          <w:sz w:val="24"/>
        </w:rPr>
        <w:t>6</w:t>
      </w:r>
      <w:r>
        <w:rPr>
          <w:rFonts w:ascii="宋体" w:hAnsi="宋体"/>
          <w:color w:val="auto"/>
          <w:sz w:val="24"/>
        </w:rPr>
        <w:t>.1</w:t>
      </w:r>
      <w:r>
        <w:rPr>
          <w:rFonts w:hint="eastAsia" w:ascii="宋体" w:hAnsi="宋体"/>
          <w:color w:val="auto"/>
          <w:sz w:val="24"/>
        </w:rPr>
        <w:t>本采购项目的询价通知书、成交人的询价响应文件以及相关的澄清确认函（如果有的话）均为本合同不可分割的一部分，与本合同具有同等法律效力。</w:t>
      </w:r>
    </w:p>
    <w:p>
      <w:pPr>
        <w:spacing w:line="440" w:lineRule="exact"/>
        <w:rPr>
          <w:rFonts w:ascii="宋体"/>
          <w:color w:val="auto"/>
          <w:sz w:val="24"/>
        </w:rPr>
      </w:pPr>
      <w:r>
        <w:rPr>
          <w:rFonts w:ascii="宋体" w:hAnsi="宋体"/>
          <w:color w:val="auto"/>
          <w:sz w:val="24"/>
        </w:rPr>
        <w:t xml:space="preserve">     1</w:t>
      </w:r>
      <w:r>
        <w:rPr>
          <w:rFonts w:hint="eastAsia" w:ascii="宋体" w:hAnsi="宋体"/>
          <w:color w:val="auto"/>
          <w:sz w:val="24"/>
        </w:rPr>
        <w:t>6</w:t>
      </w:r>
      <w:r>
        <w:rPr>
          <w:rFonts w:ascii="宋体" w:hAnsi="宋体"/>
          <w:color w:val="auto"/>
          <w:sz w:val="24"/>
        </w:rPr>
        <w:t>.2</w:t>
      </w:r>
      <w:r>
        <w:rPr>
          <w:rFonts w:hint="eastAsia" w:ascii="宋体" w:hAnsi="宋体"/>
          <w:color w:val="auto"/>
          <w:sz w:val="24"/>
        </w:rPr>
        <w:t>本合同未尽事宜，双方另行补充。</w:t>
      </w:r>
    </w:p>
    <w:p>
      <w:pPr>
        <w:spacing w:line="440" w:lineRule="exact"/>
        <w:rPr>
          <w:rFonts w:ascii="宋体"/>
          <w:color w:val="auto"/>
          <w:sz w:val="24"/>
        </w:rPr>
      </w:pPr>
      <w:r>
        <w:rPr>
          <w:rFonts w:ascii="宋体" w:hAnsi="宋体"/>
          <w:color w:val="auto"/>
          <w:sz w:val="24"/>
        </w:rPr>
        <w:t xml:space="preserve">     1</w:t>
      </w:r>
      <w:r>
        <w:rPr>
          <w:rFonts w:hint="eastAsia" w:ascii="宋体" w:hAnsi="宋体"/>
          <w:color w:val="auto"/>
          <w:sz w:val="24"/>
        </w:rPr>
        <w:t>6</w:t>
      </w:r>
      <w:r>
        <w:rPr>
          <w:rFonts w:ascii="宋体" w:hAnsi="宋体"/>
          <w:color w:val="auto"/>
          <w:sz w:val="24"/>
        </w:rPr>
        <w:t>.3</w:t>
      </w:r>
      <w:r>
        <w:rPr>
          <w:rFonts w:hint="eastAsia" w:ascii="宋体" w:hAnsi="宋体"/>
          <w:color w:val="auto"/>
          <w:sz w:val="24"/>
        </w:rPr>
        <w:t>本合同一式肆份，经双方授权代表签字并盖章后生效。甲方、乙方各执二份，具有同等效力。</w:t>
      </w:r>
    </w:p>
    <w:p>
      <w:pPr>
        <w:spacing w:line="440" w:lineRule="exact"/>
        <w:rPr>
          <w:rFonts w:hint="eastAsia" w:ascii="宋体" w:hAnsi="宋体"/>
          <w:color w:val="auto"/>
          <w:sz w:val="24"/>
        </w:rPr>
      </w:pPr>
    </w:p>
    <w:p>
      <w:pPr>
        <w:spacing w:line="440" w:lineRule="exact"/>
        <w:rPr>
          <w:rFonts w:ascii="宋体"/>
          <w:color w:val="auto"/>
          <w:sz w:val="24"/>
        </w:rPr>
      </w:pPr>
      <w:r>
        <w:rPr>
          <w:rFonts w:hint="eastAsia" w:ascii="宋体" w:hAnsi="宋体"/>
          <w:color w:val="auto"/>
          <w:sz w:val="24"/>
        </w:rPr>
        <w:t>甲</w:t>
      </w:r>
      <w:r>
        <w:rPr>
          <w:rFonts w:ascii="宋体" w:hAnsi="宋体"/>
          <w:color w:val="auto"/>
          <w:sz w:val="24"/>
        </w:rPr>
        <w:t xml:space="preserve">    </w:t>
      </w:r>
      <w:r>
        <w:rPr>
          <w:rFonts w:hint="eastAsia" w:ascii="宋体" w:hAnsi="宋体"/>
          <w:color w:val="auto"/>
          <w:sz w:val="24"/>
        </w:rPr>
        <w:t>方：</w:t>
      </w:r>
      <w:r>
        <w:rPr>
          <w:rFonts w:ascii="宋体" w:hAnsi="宋体"/>
          <w:color w:val="auto"/>
          <w:sz w:val="24"/>
        </w:rPr>
        <w:t xml:space="preserve">                            </w:t>
      </w:r>
      <w:r>
        <w:rPr>
          <w:rFonts w:hint="eastAsia" w:ascii="宋体" w:hAnsi="宋体"/>
          <w:color w:val="auto"/>
          <w:sz w:val="24"/>
        </w:rPr>
        <w:t>乙</w:t>
      </w:r>
      <w:r>
        <w:rPr>
          <w:rFonts w:ascii="宋体" w:hAnsi="宋体"/>
          <w:color w:val="auto"/>
          <w:sz w:val="24"/>
        </w:rPr>
        <w:t xml:space="preserve">    </w:t>
      </w:r>
      <w:r>
        <w:rPr>
          <w:rFonts w:hint="eastAsia" w:ascii="宋体" w:hAnsi="宋体"/>
          <w:color w:val="auto"/>
          <w:sz w:val="24"/>
        </w:rPr>
        <w:t>方：</w:t>
      </w:r>
    </w:p>
    <w:p>
      <w:pPr>
        <w:spacing w:line="440" w:lineRule="exact"/>
        <w:rPr>
          <w:rFonts w:ascii="宋体"/>
          <w:color w:val="auto"/>
          <w:sz w:val="24"/>
        </w:rPr>
      </w:pPr>
      <w:r>
        <w:rPr>
          <w:rFonts w:hint="eastAsia" w:ascii="宋体" w:hAnsi="宋体"/>
          <w:color w:val="auto"/>
          <w:sz w:val="24"/>
        </w:rPr>
        <w:t>单位地址：</w:t>
      </w:r>
      <w:r>
        <w:rPr>
          <w:rFonts w:ascii="宋体" w:hAnsi="宋体"/>
          <w:color w:val="auto"/>
          <w:sz w:val="24"/>
        </w:rPr>
        <w:t xml:space="preserve">                            </w:t>
      </w:r>
      <w:r>
        <w:rPr>
          <w:rFonts w:hint="eastAsia" w:ascii="宋体" w:hAnsi="宋体"/>
          <w:color w:val="auto"/>
          <w:sz w:val="24"/>
        </w:rPr>
        <w:t>单位地址：</w:t>
      </w:r>
    </w:p>
    <w:p>
      <w:pPr>
        <w:spacing w:line="440" w:lineRule="exact"/>
        <w:rPr>
          <w:rFonts w:ascii="宋体"/>
          <w:color w:val="auto"/>
          <w:sz w:val="24"/>
        </w:rPr>
      </w:pPr>
      <w:r>
        <w:rPr>
          <w:rFonts w:hint="eastAsia" w:ascii="宋体" w:hAnsi="宋体"/>
          <w:color w:val="auto"/>
          <w:sz w:val="24"/>
        </w:rPr>
        <w:t>法定代表人：</w:t>
      </w:r>
      <w:r>
        <w:rPr>
          <w:rFonts w:ascii="宋体" w:hAnsi="宋体"/>
          <w:color w:val="auto"/>
          <w:sz w:val="24"/>
        </w:rPr>
        <w:t xml:space="preserve">                          </w:t>
      </w:r>
      <w:r>
        <w:rPr>
          <w:rFonts w:hint="eastAsia" w:ascii="宋体" w:hAnsi="宋体"/>
          <w:color w:val="auto"/>
          <w:sz w:val="24"/>
        </w:rPr>
        <w:t>法定代表人：</w:t>
      </w:r>
    </w:p>
    <w:p>
      <w:pPr>
        <w:spacing w:line="440" w:lineRule="exact"/>
        <w:rPr>
          <w:rFonts w:ascii="宋体"/>
          <w:color w:val="auto"/>
          <w:sz w:val="24"/>
        </w:rPr>
      </w:pPr>
      <w:r>
        <w:rPr>
          <w:rFonts w:hint="eastAsia" w:ascii="宋体" w:hAnsi="宋体"/>
          <w:color w:val="auto"/>
          <w:sz w:val="24"/>
        </w:rPr>
        <w:t>委托代理人：</w:t>
      </w:r>
      <w:r>
        <w:rPr>
          <w:rFonts w:ascii="宋体" w:hAnsi="宋体"/>
          <w:color w:val="auto"/>
          <w:sz w:val="24"/>
        </w:rPr>
        <w:t xml:space="preserve">                          </w:t>
      </w:r>
      <w:r>
        <w:rPr>
          <w:rFonts w:hint="eastAsia" w:ascii="宋体" w:hAnsi="宋体"/>
          <w:color w:val="auto"/>
          <w:sz w:val="24"/>
        </w:rPr>
        <w:t>委托代理人：</w:t>
      </w:r>
    </w:p>
    <w:p>
      <w:pPr>
        <w:spacing w:line="440" w:lineRule="exact"/>
        <w:rPr>
          <w:rFonts w:ascii="宋体"/>
          <w:color w:val="auto"/>
          <w:sz w:val="24"/>
        </w:rPr>
      </w:pPr>
      <w:r>
        <w:rPr>
          <w:rFonts w:hint="eastAsia" w:ascii="宋体" w:hAnsi="宋体"/>
          <w:color w:val="auto"/>
          <w:sz w:val="24"/>
        </w:rPr>
        <w:t>电</w:t>
      </w:r>
      <w:r>
        <w:rPr>
          <w:rFonts w:ascii="宋体" w:hAnsi="宋体"/>
          <w:color w:val="auto"/>
          <w:sz w:val="24"/>
        </w:rPr>
        <w:t xml:space="preserve">    </w:t>
      </w:r>
      <w:r>
        <w:rPr>
          <w:rFonts w:hint="eastAsia" w:ascii="宋体" w:hAnsi="宋体"/>
          <w:color w:val="auto"/>
          <w:sz w:val="24"/>
        </w:rPr>
        <w:t>话：</w:t>
      </w:r>
      <w:r>
        <w:rPr>
          <w:rFonts w:ascii="宋体" w:hAnsi="宋体"/>
          <w:color w:val="auto"/>
          <w:sz w:val="24"/>
        </w:rPr>
        <w:t xml:space="preserve">                            </w:t>
      </w:r>
      <w:r>
        <w:rPr>
          <w:rFonts w:hint="eastAsia" w:ascii="宋体" w:hAnsi="宋体"/>
          <w:color w:val="auto"/>
          <w:sz w:val="24"/>
        </w:rPr>
        <w:t>电</w:t>
      </w:r>
      <w:r>
        <w:rPr>
          <w:rFonts w:ascii="宋体" w:hAnsi="宋体"/>
          <w:color w:val="auto"/>
          <w:sz w:val="24"/>
        </w:rPr>
        <w:t xml:space="preserve">    </w:t>
      </w:r>
      <w:r>
        <w:rPr>
          <w:rFonts w:hint="eastAsia" w:ascii="宋体" w:hAnsi="宋体"/>
          <w:color w:val="auto"/>
          <w:sz w:val="24"/>
        </w:rPr>
        <w:t>话：</w:t>
      </w:r>
    </w:p>
    <w:p>
      <w:pPr>
        <w:spacing w:line="440" w:lineRule="exact"/>
        <w:rPr>
          <w:rFonts w:ascii="宋体"/>
          <w:color w:val="auto"/>
          <w:sz w:val="24"/>
        </w:rPr>
      </w:pPr>
      <w:r>
        <w:rPr>
          <w:rFonts w:hint="eastAsia" w:ascii="宋体" w:hAnsi="宋体"/>
          <w:color w:val="auto"/>
          <w:sz w:val="24"/>
        </w:rPr>
        <w:t>开户银行：</w:t>
      </w:r>
      <w:r>
        <w:rPr>
          <w:rFonts w:ascii="宋体" w:hAnsi="宋体"/>
          <w:color w:val="auto"/>
          <w:sz w:val="24"/>
        </w:rPr>
        <w:t xml:space="preserve">                            </w:t>
      </w:r>
      <w:r>
        <w:rPr>
          <w:rFonts w:hint="eastAsia" w:ascii="宋体" w:hAnsi="宋体"/>
          <w:color w:val="auto"/>
          <w:sz w:val="24"/>
        </w:rPr>
        <w:t>开户银行：</w:t>
      </w:r>
    </w:p>
    <w:p>
      <w:pPr>
        <w:pStyle w:val="6"/>
        <w:snapToGrid w:val="0"/>
        <w:spacing w:line="360" w:lineRule="auto"/>
        <w:ind w:firstLine="0"/>
        <w:rPr>
          <w:rFonts w:ascii="宋体"/>
          <w:color w:val="auto"/>
          <w:sz w:val="24"/>
        </w:rPr>
      </w:pPr>
      <w:r>
        <w:rPr>
          <w:rFonts w:hint="eastAsia" w:ascii="宋体" w:hAnsi="宋体"/>
          <w:color w:val="auto"/>
          <w:sz w:val="24"/>
        </w:rPr>
        <w:t>账</w:t>
      </w:r>
      <w:r>
        <w:rPr>
          <w:rFonts w:ascii="宋体" w:hAnsi="宋体"/>
          <w:color w:val="auto"/>
          <w:sz w:val="24"/>
        </w:rPr>
        <w:t xml:space="preserve">    </w:t>
      </w:r>
      <w:r>
        <w:rPr>
          <w:rFonts w:hint="eastAsia" w:ascii="宋体" w:hAnsi="宋体"/>
          <w:color w:val="auto"/>
          <w:sz w:val="24"/>
        </w:rPr>
        <w:t>号：</w:t>
      </w:r>
      <w:r>
        <w:rPr>
          <w:rFonts w:ascii="宋体" w:hAnsi="宋体"/>
          <w:color w:val="auto"/>
          <w:sz w:val="24"/>
        </w:rPr>
        <w:t xml:space="preserve">                            </w:t>
      </w:r>
      <w:r>
        <w:rPr>
          <w:rFonts w:hint="eastAsia" w:ascii="宋体" w:hAnsi="宋体"/>
          <w:color w:val="auto"/>
          <w:sz w:val="24"/>
        </w:rPr>
        <w:t>账</w:t>
      </w:r>
      <w:r>
        <w:rPr>
          <w:rFonts w:ascii="宋体" w:hAnsi="宋体"/>
          <w:color w:val="auto"/>
          <w:sz w:val="24"/>
        </w:rPr>
        <w:t xml:space="preserve">    </w:t>
      </w:r>
      <w:r>
        <w:rPr>
          <w:rFonts w:hint="eastAsia" w:ascii="宋体" w:hAnsi="宋体"/>
          <w:color w:val="auto"/>
          <w:sz w:val="24"/>
        </w:rPr>
        <w:t>号：</w:t>
      </w:r>
    </w:p>
    <w:p>
      <w:pPr>
        <w:pStyle w:val="29"/>
        <w:ind w:firstLine="31680"/>
        <w:rPr>
          <w:color w:val="auto"/>
          <w:szCs w:val="20"/>
        </w:rPr>
      </w:pPr>
      <w:r>
        <w:rPr>
          <w:color w:val="auto"/>
        </w:rPr>
        <w:br w:type="page"/>
      </w:r>
    </w:p>
    <w:p>
      <w:pPr>
        <w:pStyle w:val="6"/>
        <w:snapToGrid w:val="0"/>
        <w:spacing w:line="360" w:lineRule="auto"/>
        <w:ind w:firstLine="0"/>
        <w:rPr>
          <w:rFonts w:ascii="宋体"/>
          <w:color w:val="auto"/>
          <w:sz w:val="24"/>
        </w:rPr>
      </w:pPr>
    </w:p>
    <w:p>
      <w:pPr>
        <w:pStyle w:val="4"/>
        <w:numPr>
          <w:ilvl w:val="0"/>
          <w:numId w:val="0"/>
        </w:numPr>
        <w:rPr>
          <w:color w:val="auto"/>
        </w:rPr>
      </w:pPr>
      <w:bookmarkStart w:id="233" w:name="_Toc29512"/>
      <w:bookmarkStart w:id="234" w:name="_Toc32321"/>
      <w:bookmarkStart w:id="235" w:name="_Toc19851"/>
      <w:bookmarkStart w:id="236" w:name="_Toc16861"/>
      <w:r>
        <w:rPr>
          <w:rFonts w:hint="eastAsia"/>
          <w:color w:val="auto"/>
        </w:rPr>
        <w:t>第五章</w:t>
      </w:r>
      <w:r>
        <w:rPr>
          <w:color w:val="auto"/>
        </w:rPr>
        <w:t xml:space="preserve">    </w:t>
      </w:r>
      <w:r>
        <w:rPr>
          <w:rFonts w:hint="eastAsia"/>
          <w:color w:val="auto"/>
        </w:rPr>
        <w:t>询价响应文件格式</w:t>
      </w:r>
      <w:bookmarkEnd w:id="233"/>
      <w:bookmarkEnd w:id="234"/>
      <w:bookmarkEnd w:id="235"/>
      <w:bookmarkEnd w:id="236"/>
    </w:p>
    <w:p>
      <w:pPr>
        <w:pStyle w:val="70"/>
        <w:spacing w:line="360" w:lineRule="auto"/>
        <w:ind w:firstLine="480" w:firstLineChars="200"/>
        <w:rPr>
          <w:rFonts w:hAnsi="宋体"/>
          <w:color w:val="auto"/>
        </w:rPr>
      </w:pPr>
    </w:p>
    <w:p>
      <w:pPr>
        <w:pStyle w:val="70"/>
        <w:spacing w:line="360" w:lineRule="auto"/>
        <w:ind w:firstLine="480" w:firstLineChars="200"/>
        <w:rPr>
          <w:rFonts w:hAnsi="宋体"/>
          <w:color w:val="auto"/>
        </w:rPr>
      </w:pPr>
    </w:p>
    <w:p>
      <w:pPr>
        <w:pStyle w:val="70"/>
        <w:spacing w:line="360" w:lineRule="auto"/>
        <w:ind w:firstLine="480" w:firstLineChars="200"/>
        <w:rPr>
          <w:rFonts w:hAnsi="宋体"/>
          <w:color w:val="auto"/>
        </w:rPr>
      </w:pPr>
    </w:p>
    <w:p>
      <w:pPr>
        <w:pStyle w:val="70"/>
        <w:spacing w:line="360" w:lineRule="auto"/>
        <w:ind w:firstLine="480" w:firstLineChars="200"/>
        <w:rPr>
          <w:rFonts w:hAnsi="宋体"/>
          <w:color w:val="auto"/>
        </w:rPr>
      </w:pPr>
    </w:p>
    <w:p>
      <w:pPr>
        <w:pStyle w:val="70"/>
        <w:spacing w:line="360" w:lineRule="auto"/>
        <w:ind w:firstLine="480" w:firstLineChars="200"/>
        <w:rPr>
          <w:rFonts w:hAnsi="宋体"/>
          <w:color w:val="auto"/>
        </w:rPr>
      </w:pPr>
    </w:p>
    <w:tbl>
      <w:tblPr>
        <w:tblStyle w:val="30"/>
        <w:tblW w:w="8099"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099" w:type="dxa"/>
            <w:noWrap/>
          </w:tcPr>
          <w:p>
            <w:pPr>
              <w:spacing w:before="120" w:line="360" w:lineRule="auto"/>
              <w:ind w:firstLine="480" w:firstLineChars="200"/>
              <w:rPr>
                <w:rFonts w:ascii="宋体"/>
                <w:color w:val="auto"/>
                <w:sz w:val="24"/>
              </w:rPr>
            </w:pPr>
            <w:r>
              <w:rPr>
                <w:rFonts w:hint="eastAsia" w:ascii="宋体" w:hAnsi="宋体"/>
                <w:color w:val="auto"/>
                <w:sz w:val="24"/>
              </w:rPr>
              <w:t>注释：</w:t>
            </w:r>
          </w:p>
          <w:p>
            <w:pPr>
              <w:spacing w:before="120" w:line="360" w:lineRule="auto"/>
              <w:ind w:right="132" w:firstLine="236" w:firstLineChars="98"/>
              <w:rPr>
                <w:rFonts w:ascii="宋体"/>
                <w:color w:val="auto"/>
                <w:sz w:val="24"/>
              </w:rPr>
            </w:pPr>
            <w:r>
              <w:rPr>
                <w:rFonts w:hint="eastAsia" w:ascii="宋体" w:hAnsi="宋体"/>
                <w:b/>
                <w:color w:val="auto"/>
                <w:sz w:val="24"/>
              </w:rPr>
              <w:t>《</w:t>
            </w:r>
            <w:r>
              <w:rPr>
                <w:rFonts w:hint="eastAsia" w:ascii="宋体" w:hAnsi="宋体"/>
                <w:color w:val="auto"/>
                <w:sz w:val="24"/>
              </w:rPr>
              <w:t>询价响应文件格式》是询价供应商的部分询价响应文件格式和签订合同时所需文件的格式。询价供应商应参照这些格式文件制作询价响应文件。</w:t>
            </w:r>
          </w:p>
          <w:p>
            <w:pPr>
              <w:spacing w:before="120" w:line="360" w:lineRule="auto"/>
              <w:ind w:right="132" w:firstLine="232" w:firstLineChars="97"/>
              <w:rPr>
                <w:rFonts w:ascii="宋体"/>
                <w:color w:val="auto"/>
                <w:sz w:val="24"/>
              </w:rPr>
            </w:pPr>
          </w:p>
        </w:tc>
      </w:tr>
    </w:tbl>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pStyle w:val="70"/>
        <w:spacing w:line="360" w:lineRule="auto"/>
        <w:ind w:firstLine="400" w:firstLineChars="200"/>
        <w:rPr>
          <w:rFonts w:hAnsi="宋体"/>
          <w:color w:val="auto"/>
          <w:sz w:val="20"/>
        </w:rPr>
      </w:pPr>
    </w:p>
    <w:p>
      <w:pPr>
        <w:spacing w:line="360" w:lineRule="auto"/>
        <w:ind w:firstLine="1446" w:firstLineChars="200"/>
        <w:rPr>
          <w:rFonts w:ascii="宋体"/>
          <w:b/>
          <w:sz w:val="72"/>
        </w:rPr>
      </w:pPr>
    </w:p>
    <w:p>
      <w:pPr>
        <w:jc w:val="center"/>
        <w:outlineLvl w:val="0"/>
        <w:rPr>
          <w:b/>
          <w:bCs/>
          <w:sz w:val="72"/>
          <w:szCs w:val="72"/>
        </w:rPr>
      </w:pPr>
      <w:bookmarkStart w:id="237" w:name="_Toc31020"/>
      <w:bookmarkStart w:id="238" w:name="_Toc19087"/>
      <w:bookmarkStart w:id="239" w:name="_Toc28583"/>
      <w:r>
        <w:rPr>
          <w:rFonts w:hint="eastAsia"/>
          <w:b/>
          <w:bCs/>
          <w:sz w:val="72"/>
          <w:szCs w:val="72"/>
        </w:rPr>
        <w:t>询价响应文件</w:t>
      </w:r>
      <w:bookmarkEnd w:id="237"/>
      <w:bookmarkEnd w:id="238"/>
      <w:bookmarkEnd w:id="239"/>
    </w:p>
    <w:p>
      <w:pPr>
        <w:jc w:val="center"/>
        <w:rPr>
          <w:rFonts w:ascii="黑体" w:eastAsia="黑体"/>
          <w:sz w:val="44"/>
          <w:szCs w:val="44"/>
        </w:rPr>
      </w:pPr>
    </w:p>
    <w:p>
      <w:pPr>
        <w:jc w:val="center"/>
        <w:outlineLvl w:val="0"/>
        <w:rPr>
          <w:b/>
          <w:bCs/>
          <w:sz w:val="44"/>
          <w:szCs w:val="44"/>
        </w:rPr>
      </w:pPr>
      <w:bookmarkStart w:id="240" w:name="_Toc15150"/>
      <w:bookmarkStart w:id="241" w:name="_Toc8921"/>
      <w:bookmarkStart w:id="242" w:name="_Toc8548"/>
      <w:r>
        <w:rPr>
          <w:rFonts w:hint="eastAsia"/>
          <w:b/>
          <w:bCs/>
          <w:sz w:val="44"/>
          <w:szCs w:val="44"/>
        </w:rPr>
        <w:t>（请在此注明正本或副本）</w:t>
      </w:r>
      <w:bookmarkEnd w:id="240"/>
      <w:bookmarkEnd w:id="241"/>
      <w:bookmarkEnd w:id="242"/>
    </w:p>
    <w:p>
      <w:pPr>
        <w:spacing w:line="360" w:lineRule="auto"/>
        <w:ind w:firstLine="2182" w:firstLineChars="494"/>
        <w:rPr>
          <w:rFonts w:ascii="宋体"/>
          <w:b/>
          <w:sz w:val="44"/>
          <w:szCs w:val="44"/>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ind w:firstLine="1285" w:firstLineChars="400"/>
        <w:outlineLvl w:val="0"/>
        <w:rPr>
          <w:b/>
          <w:bCs/>
          <w:sz w:val="32"/>
          <w:szCs w:val="32"/>
          <w:u w:val="single"/>
        </w:rPr>
      </w:pPr>
      <w:bookmarkStart w:id="243" w:name="_Toc27222"/>
      <w:bookmarkStart w:id="244" w:name="_Toc15474"/>
      <w:bookmarkStart w:id="245" w:name="_Toc14880"/>
      <w:r>
        <w:rPr>
          <w:rFonts w:hint="eastAsia"/>
          <w:b/>
          <w:bCs/>
          <w:sz w:val="32"/>
          <w:szCs w:val="32"/>
        </w:rPr>
        <w:t>项</w:t>
      </w:r>
      <w:r>
        <w:rPr>
          <w:b/>
          <w:bCs/>
          <w:sz w:val="32"/>
          <w:szCs w:val="32"/>
        </w:rPr>
        <w:t xml:space="preserve"> </w:t>
      </w:r>
      <w:r>
        <w:rPr>
          <w:rFonts w:hint="eastAsia"/>
          <w:b/>
          <w:bCs/>
          <w:sz w:val="32"/>
          <w:szCs w:val="32"/>
        </w:rPr>
        <w:t>目</w:t>
      </w:r>
      <w:r>
        <w:rPr>
          <w:b/>
          <w:bCs/>
          <w:sz w:val="32"/>
          <w:szCs w:val="32"/>
        </w:rPr>
        <w:t xml:space="preserve"> </w:t>
      </w:r>
      <w:r>
        <w:rPr>
          <w:rFonts w:hint="eastAsia"/>
          <w:b/>
          <w:bCs/>
          <w:sz w:val="32"/>
          <w:szCs w:val="32"/>
        </w:rPr>
        <w:t>名</w:t>
      </w:r>
      <w:r>
        <w:rPr>
          <w:b/>
          <w:bCs/>
          <w:sz w:val="32"/>
          <w:szCs w:val="32"/>
        </w:rPr>
        <w:t xml:space="preserve"> </w:t>
      </w:r>
      <w:r>
        <w:rPr>
          <w:rFonts w:hint="eastAsia"/>
          <w:b/>
          <w:bCs/>
          <w:sz w:val="32"/>
          <w:szCs w:val="32"/>
        </w:rPr>
        <w:t>称：</w:t>
      </w:r>
      <w:bookmarkEnd w:id="243"/>
      <w:bookmarkEnd w:id="244"/>
      <w:bookmarkEnd w:id="245"/>
    </w:p>
    <w:p>
      <w:pPr>
        <w:ind w:firstLine="1285" w:firstLineChars="400"/>
        <w:outlineLvl w:val="0"/>
        <w:rPr>
          <w:b/>
          <w:bCs/>
          <w:sz w:val="32"/>
          <w:szCs w:val="32"/>
        </w:rPr>
      </w:pPr>
      <w:bookmarkStart w:id="246" w:name="_Toc4534"/>
      <w:bookmarkStart w:id="247" w:name="_Toc5798"/>
      <w:bookmarkStart w:id="248" w:name="_Toc1693"/>
      <w:r>
        <w:rPr>
          <w:rFonts w:hint="eastAsia"/>
          <w:b/>
          <w:bCs/>
          <w:sz w:val="32"/>
          <w:szCs w:val="32"/>
        </w:rPr>
        <w:t>采</w:t>
      </w:r>
      <w:r>
        <w:rPr>
          <w:b/>
          <w:bCs/>
          <w:sz w:val="32"/>
          <w:szCs w:val="32"/>
        </w:rPr>
        <w:t xml:space="preserve"> </w:t>
      </w:r>
      <w:r>
        <w:rPr>
          <w:rFonts w:hint="eastAsia"/>
          <w:b/>
          <w:bCs/>
          <w:sz w:val="32"/>
          <w:szCs w:val="32"/>
        </w:rPr>
        <w:t>购</w:t>
      </w:r>
      <w:r>
        <w:rPr>
          <w:b/>
          <w:bCs/>
          <w:sz w:val="32"/>
          <w:szCs w:val="32"/>
        </w:rPr>
        <w:t xml:space="preserve"> </w:t>
      </w:r>
      <w:r>
        <w:rPr>
          <w:rFonts w:hint="eastAsia"/>
          <w:b/>
          <w:bCs/>
          <w:sz w:val="32"/>
          <w:szCs w:val="32"/>
        </w:rPr>
        <w:t>编</w:t>
      </w:r>
      <w:r>
        <w:rPr>
          <w:b/>
          <w:bCs/>
          <w:sz w:val="32"/>
          <w:szCs w:val="32"/>
        </w:rPr>
        <w:t xml:space="preserve"> </w:t>
      </w:r>
      <w:r>
        <w:rPr>
          <w:rFonts w:hint="eastAsia"/>
          <w:b/>
          <w:bCs/>
          <w:sz w:val="32"/>
          <w:szCs w:val="32"/>
        </w:rPr>
        <w:t>号：</w:t>
      </w:r>
      <w:bookmarkEnd w:id="246"/>
      <w:bookmarkEnd w:id="247"/>
      <w:bookmarkEnd w:id="248"/>
    </w:p>
    <w:p>
      <w:pPr>
        <w:rPr>
          <w:b/>
          <w:bCs/>
          <w:sz w:val="32"/>
          <w:szCs w:val="32"/>
        </w:rPr>
      </w:pPr>
    </w:p>
    <w:p>
      <w:pPr>
        <w:rPr>
          <w:b/>
          <w:bCs/>
          <w:sz w:val="32"/>
          <w:szCs w:val="32"/>
        </w:rPr>
      </w:pPr>
    </w:p>
    <w:p>
      <w:pPr>
        <w:jc w:val="center"/>
        <w:outlineLvl w:val="0"/>
        <w:rPr>
          <w:b/>
          <w:bCs/>
          <w:sz w:val="32"/>
          <w:szCs w:val="32"/>
          <w:u w:val="single"/>
        </w:rPr>
      </w:pPr>
      <w:bookmarkStart w:id="249" w:name="_Toc28194"/>
      <w:bookmarkStart w:id="250" w:name="_Toc14833"/>
      <w:bookmarkStart w:id="251" w:name="_Toc15154"/>
      <w:r>
        <w:rPr>
          <w:rFonts w:hint="eastAsia"/>
          <w:b/>
          <w:bCs/>
          <w:sz w:val="32"/>
          <w:szCs w:val="32"/>
        </w:rPr>
        <w:t>询价供应商名称</w:t>
      </w:r>
      <w:r>
        <w:rPr>
          <w:b/>
          <w:bCs/>
          <w:sz w:val="32"/>
          <w:szCs w:val="32"/>
        </w:rPr>
        <w:t xml:space="preserve"> </w:t>
      </w:r>
      <w:r>
        <w:rPr>
          <w:rFonts w:hint="eastAsia"/>
          <w:b/>
          <w:bCs/>
          <w:sz w:val="32"/>
          <w:szCs w:val="32"/>
        </w:rPr>
        <w:t>：</w:t>
      </w:r>
      <w:bookmarkEnd w:id="249"/>
      <w:bookmarkEnd w:id="250"/>
      <w:bookmarkEnd w:id="251"/>
    </w:p>
    <w:p>
      <w:pPr>
        <w:jc w:val="center"/>
        <w:outlineLvl w:val="0"/>
        <w:rPr>
          <w:b/>
          <w:bCs/>
          <w:sz w:val="32"/>
          <w:szCs w:val="32"/>
        </w:rPr>
      </w:pPr>
      <w:bookmarkStart w:id="252" w:name="_Toc3238"/>
      <w:bookmarkStart w:id="253" w:name="_Toc24219"/>
      <w:bookmarkStart w:id="254" w:name="_Toc23925"/>
      <w:r>
        <w:rPr>
          <w:rFonts w:hint="eastAsia"/>
          <w:b/>
          <w:bCs/>
          <w:sz w:val="32"/>
          <w:szCs w:val="32"/>
        </w:rPr>
        <w:t>日</w:t>
      </w:r>
      <w:r>
        <w:rPr>
          <w:b/>
          <w:bCs/>
          <w:sz w:val="32"/>
          <w:szCs w:val="32"/>
        </w:rPr>
        <w:t xml:space="preserve">      </w:t>
      </w:r>
      <w:r>
        <w:rPr>
          <w:rFonts w:hint="eastAsia"/>
          <w:b/>
          <w:bCs/>
          <w:sz w:val="32"/>
          <w:szCs w:val="32"/>
        </w:rPr>
        <w:t>期</w:t>
      </w:r>
      <w:r>
        <w:rPr>
          <w:b/>
          <w:bCs/>
          <w:sz w:val="32"/>
          <w:szCs w:val="32"/>
        </w:rPr>
        <w:t xml:space="preserve"> </w:t>
      </w:r>
      <w:r>
        <w:rPr>
          <w:rFonts w:hint="eastAsia"/>
          <w:b/>
          <w:bCs/>
          <w:sz w:val="32"/>
          <w:szCs w:val="32"/>
        </w:rPr>
        <w:t>：</w:t>
      </w:r>
      <w:bookmarkEnd w:id="252"/>
      <w:bookmarkEnd w:id="253"/>
      <w:bookmarkEnd w:id="254"/>
    </w:p>
    <w:p>
      <w:pPr>
        <w:pStyle w:val="91"/>
        <w:spacing w:line="360" w:lineRule="auto"/>
        <w:ind w:firstLine="482" w:firstLineChars="200"/>
        <w:jc w:val="left"/>
        <w:outlineLvl w:val="9"/>
        <w:rPr>
          <w:rFonts w:hAnsi="宋体"/>
          <w:b/>
          <w:sz w:val="24"/>
        </w:rPr>
      </w:pPr>
    </w:p>
    <w:p>
      <w:pPr>
        <w:pStyle w:val="91"/>
        <w:spacing w:line="360" w:lineRule="auto"/>
        <w:ind w:firstLine="482" w:firstLineChars="200"/>
        <w:jc w:val="left"/>
        <w:outlineLvl w:val="9"/>
        <w:rPr>
          <w:rFonts w:hAnsi="宋体"/>
          <w:b/>
          <w:sz w:val="24"/>
        </w:rPr>
      </w:pPr>
    </w:p>
    <w:p>
      <w:pPr>
        <w:pStyle w:val="91"/>
        <w:spacing w:line="360" w:lineRule="auto"/>
        <w:ind w:firstLine="482" w:firstLineChars="200"/>
        <w:jc w:val="left"/>
        <w:outlineLvl w:val="9"/>
        <w:rPr>
          <w:rFonts w:hAnsi="宋体"/>
          <w:b/>
          <w:sz w:val="24"/>
        </w:rPr>
      </w:pPr>
    </w:p>
    <w:p>
      <w:pPr>
        <w:pStyle w:val="91"/>
        <w:spacing w:line="360" w:lineRule="auto"/>
        <w:ind w:firstLine="482" w:firstLineChars="200"/>
        <w:jc w:val="left"/>
        <w:outlineLvl w:val="9"/>
        <w:rPr>
          <w:rFonts w:hAnsi="宋体"/>
          <w:b/>
          <w:sz w:val="24"/>
        </w:rPr>
      </w:pPr>
    </w:p>
    <w:p>
      <w:pPr>
        <w:pStyle w:val="91"/>
        <w:spacing w:line="360" w:lineRule="auto"/>
        <w:ind w:firstLine="482" w:firstLineChars="200"/>
        <w:jc w:val="left"/>
        <w:outlineLvl w:val="9"/>
        <w:rPr>
          <w:rFonts w:hAnsi="宋体"/>
          <w:b/>
          <w:sz w:val="24"/>
        </w:rPr>
      </w:pPr>
    </w:p>
    <w:p>
      <w:pPr>
        <w:pStyle w:val="91"/>
        <w:spacing w:line="360" w:lineRule="auto"/>
        <w:ind w:firstLine="482" w:firstLineChars="200"/>
        <w:jc w:val="left"/>
        <w:outlineLvl w:val="9"/>
        <w:rPr>
          <w:rFonts w:hAnsi="宋体"/>
          <w:b/>
          <w:sz w:val="24"/>
        </w:rPr>
      </w:pPr>
    </w:p>
    <w:p>
      <w:pPr>
        <w:pStyle w:val="91"/>
        <w:spacing w:line="360" w:lineRule="auto"/>
        <w:ind w:firstLine="482" w:firstLineChars="200"/>
        <w:jc w:val="left"/>
        <w:outlineLvl w:val="9"/>
        <w:rPr>
          <w:rFonts w:hAnsi="宋体"/>
          <w:b/>
          <w:sz w:val="24"/>
        </w:rPr>
      </w:pPr>
    </w:p>
    <w:p>
      <w:pPr>
        <w:pStyle w:val="91"/>
        <w:spacing w:line="360" w:lineRule="auto"/>
        <w:jc w:val="left"/>
        <w:outlineLvl w:val="9"/>
        <w:rPr>
          <w:rFonts w:hAnsi="宋体"/>
          <w:b/>
          <w:sz w:val="24"/>
        </w:rPr>
      </w:pPr>
    </w:p>
    <w:p>
      <w:pPr>
        <w:spacing w:line="360" w:lineRule="auto"/>
        <w:jc w:val="center"/>
        <w:rPr>
          <w:b/>
          <w:bCs/>
          <w:sz w:val="24"/>
        </w:rPr>
      </w:pPr>
      <w:bookmarkStart w:id="255" w:name="_Toc6201"/>
    </w:p>
    <w:p>
      <w:pPr>
        <w:spacing w:line="360" w:lineRule="auto"/>
        <w:jc w:val="center"/>
        <w:outlineLvl w:val="1"/>
        <w:rPr>
          <w:b/>
          <w:bCs/>
          <w:sz w:val="24"/>
        </w:rPr>
      </w:pPr>
      <w:bookmarkStart w:id="256" w:name="_Toc19719"/>
      <w:bookmarkStart w:id="257" w:name="_Toc21164"/>
      <w:r>
        <w:rPr>
          <w:rFonts w:hint="eastAsia"/>
          <w:b/>
          <w:bCs/>
          <w:sz w:val="24"/>
        </w:rPr>
        <w:t>目录</w:t>
      </w:r>
      <w:bookmarkEnd w:id="255"/>
      <w:bookmarkEnd w:id="256"/>
      <w:bookmarkEnd w:id="257"/>
    </w:p>
    <w:p>
      <w:pPr>
        <w:spacing w:line="360" w:lineRule="auto"/>
        <w:rPr>
          <w:sz w:val="24"/>
        </w:rPr>
      </w:pPr>
      <w:r>
        <w:rPr>
          <w:sz w:val="24"/>
        </w:rPr>
        <w:t xml:space="preserve"> </w:t>
      </w:r>
      <w:r>
        <w:rPr>
          <w:rFonts w:hint="eastAsia"/>
          <w:sz w:val="24"/>
        </w:rPr>
        <w:t>询价响应文件：</w:t>
      </w:r>
    </w:p>
    <w:p>
      <w:pPr>
        <w:spacing w:line="360" w:lineRule="auto"/>
        <w:outlineLvl w:val="1"/>
        <w:rPr>
          <w:sz w:val="24"/>
        </w:rPr>
      </w:pPr>
      <w:bookmarkStart w:id="258" w:name="_Toc13693"/>
      <w:bookmarkStart w:id="259" w:name="_Toc30756"/>
      <w:bookmarkStart w:id="260" w:name="_Toc10854"/>
      <w:r>
        <w:rPr>
          <w:rFonts w:hint="eastAsia"/>
          <w:sz w:val="24"/>
        </w:rPr>
        <w:t>（</w:t>
      </w:r>
      <w:r>
        <w:rPr>
          <w:sz w:val="24"/>
        </w:rPr>
        <w:t>1</w:t>
      </w:r>
      <w:r>
        <w:rPr>
          <w:rFonts w:hint="eastAsia"/>
          <w:sz w:val="24"/>
        </w:rPr>
        <w:t>）响应书</w:t>
      </w:r>
      <w:bookmarkEnd w:id="258"/>
      <w:bookmarkEnd w:id="259"/>
      <w:bookmarkEnd w:id="260"/>
    </w:p>
    <w:p>
      <w:pPr>
        <w:spacing w:line="360" w:lineRule="auto"/>
        <w:outlineLvl w:val="1"/>
        <w:rPr>
          <w:sz w:val="24"/>
        </w:rPr>
      </w:pPr>
      <w:bookmarkStart w:id="261" w:name="_Toc31881"/>
      <w:bookmarkStart w:id="262" w:name="_Toc12804"/>
      <w:bookmarkStart w:id="263" w:name="_Toc23303"/>
      <w:r>
        <w:rPr>
          <w:rFonts w:hint="eastAsia"/>
          <w:sz w:val="24"/>
        </w:rPr>
        <w:t>（</w:t>
      </w:r>
      <w:r>
        <w:rPr>
          <w:sz w:val="24"/>
        </w:rPr>
        <w:t>2</w:t>
      </w:r>
      <w:r>
        <w:rPr>
          <w:rFonts w:hint="eastAsia"/>
          <w:sz w:val="24"/>
        </w:rPr>
        <w:t>）报价一览表</w:t>
      </w:r>
      <w:bookmarkEnd w:id="261"/>
      <w:bookmarkEnd w:id="262"/>
      <w:bookmarkEnd w:id="263"/>
    </w:p>
    <w:p>
      <w:pPr>
        <w:spacing w:line="360" w:lineRule="auto"/>
        <w:outlineLvl w:val="1"/>
        <w:rPr>
          <w:sz w:val="24"/>
        </w:rPr>
      </w:pPr>
      <w:bookmarkStart w:id="264" w:name="_Toc16940"/>
      <w:bookmarkStart w:id="265" w:name="_Toc6314"/>
      <w:bookmarkStart w:id="266" w:name="_Toc4942"/>
      <w:r>
        <w:rPr>
          <w:rFonts w:hint="eastAsia"/>
          <w:sz w:val="24"/>
        </w:rPr>
        <w:t>（</w:t>
      </w:r>
      <w:r>
        <w:rPr>
          <w:sz w:val="24"/>
        </w:rPr>
        <w:t>3</w:t>
      </w:r>
      <w:r>
        <w:rPr>
          <w:rFonts w:hint="eastAsia"/>
          <w:sz w:val="24"/>
        </w:rPr>
        <w:t>）报价分项表</w:t>
      </w:r>
      <w:bookmarkEnd w:id="264"/>
      <w:bookmarkEnd w:id="265"/>
      <w:bookmarkEnd w:id="266"/>
    </w:p>
    <w:p>
      <w:pPr>
        <w:spacing w:line="360" w:lineRule="auto"/>
        <w:outlineLvl w:val="1"/>
        <w:rPr>
          <w:sz w:val="24"/>
        </w:rPr>
      </w:pPr>
      <w:bookmarkStart w:id="267" w:name="_Toc84"/>
      <w:bookmarkStart w:id="268" w:name="_Toc5654"/>
      <w:bookmarkStart w:id="269" w:name="_Toc29169"/>
      <w:r>
        <w:rPr>
          <w:rFonts w:hint="eastAsia"/>
          <w:sz w:val="24"/>
        </w:rPr>
        <w:t>（</w:t>
      </w:r>
      <w:r>
        <w:rPr>
          <w:sz w:val="24"/>
        </w:rPr>
        <w:t>4</w:t>
      </w:r>
      <w:r>
        <w:rPr>
          <w:rFonts w:hint="eastAsia"/>
          <w:sz w:val="24"/>
        </w:rPr>
        <w:t>）资格证明文件</w:t>
      </w:r>
      <w:bookmarkEnd w:id="267"/>
      <w:bookmarkEnd w:id="268"/>
      <w:bookmarkEnd w:id="269"/>
    </w:p>
    <w:p>
      <w:pPr>
        <w:spacing w:line="360" w:lineRule="auto"/>
        <w:outlineLvl w:val="1"/>
        <w:rPr>
          <w:sz w:val="24"/>
        </w:rPr>
      </w:pPr>
      <w:bookmarkStart w:id="270" w:name="_Toc31011"/>
      <w:bookmarkStart w:id="271" w:name="_Toc32550"/>
      <w:bookmarkStart w:id="272" w:name="_Toc3842"/>
      <w:r>
        <w:rPr>
          <w:rFonts w:hint="eastAsia"/>
          <w:sz w:val="24"/>
        </w:rPr>
        <w:t>（</w:t>
      </w:r>
      <w:r>
        <w:rPr>
          <w:sz w:val="24"/>
        </w:rPr>
        <w:t>5</w:t>
      </w:r>
      <w:r>
        <w:rPr>
          <w:rFonts w:hint="eastAsia"/>
          <w:sz w:val="24"/>
        </w:rPr>
        <w:t>）技术和服务要求响应</w:t>
      </w:r>
      <w:bookmarkEnd w:id="270"/>
      <w:r>
        <w:rPr>
          <w:rFonts w:hint="eastAsia"/>
          <w:sz w:val="24"/>
        </w:rPr>
        <w:t>承诺书</w:t>
      </w:r>
      <w:bookmarkEnd w:id="271"/>
      <w:bookmarkEnd w:id="272"/>
    </w:p>
    <w:p>
      <w:pPr>
        <w:spacing w:line="360" w:lineRule="auto"/>
        <w:outlineLvl w:val="1"/>
        <w:rPr>
          <w:sz w:val="24"/>
        </w:rPr>
      </w:pPr>
      <w:bookmarkStart w:id="273" w:name="_Toc23476"/>
      <w:bookmarkStart w:id="274" w:name="_Toc5745"/>
      <w:bookmarkStart w:id="275" w:name="_Toc32682"/>
      <w:r>
        <w:rPr>
          <w:rFonts w:hint="eastAsia"/>
          <w:sz w:val="24"/>
        </w:rPr>
        <w:t>（</w:t>
      </w:r>
      <w:r>
        <w:rPr>
          <w:sz w:val="24"/>
        </w:rPr>
        <w:t>6</w:t>
      </w:r>
      <w:r>
        <w:rPr>
          <w:rFonts w:hint="eastAsia"/>
          <w:sz w:val="24"/>
        </w:rPr>
        <w:t>）采购内容及要求的承诺书</w:t>
      </w:r>
      <w:bookmarkEnd w:id="273"/>
      <w:bookmarkEnd w:id="274"/>
      <w:bookmarkEnd w:id="275"/>
    </w:p>
    <w:p>
      <w:pPr>
        <w:spacing w:line="360" w:lineRule="auto"/>
        <w:outlineLvl w:val="1"/>
        <w:rPr>
          <w:sz w:val="24"/>
        </w:rPr>
      </w:pPr>
      <w:bookmarkStart w:id="276" w:name="_Toc20191"/>
      <w:bookmarkStart w:id="277" w:name="_Toc27637"/>
      <w:bookmarkStart w:id="278" w:name="_Toc4425"/>
      <w:r>
        <w:rPr>
          <w:rFonts w:hint="eastAsia"/>
          <w:sz w:val="24"/>
        </w:rPr>
        <w:t>（</w:t>
      </w:r>
      <w:r>
        <w:rPr>
          <w:sz w:val="24"/>
        </w:rPr>
        <w:t>7</w:t>
      </w:r>
      <w:r>
        <w:rPr>
          <w:rFonts w:hint="eastAsia"/>
          <w:sz w:val="24"/>
        </w:rPr>
        <w:t>）提交的其他资料（若无此项资料则无需提供）</w:t>
      </w:r>
      <w:bookmarkEnd w:id="276"/>
      <w:bookmarkEnd w:id="277"/>
      <w:bookmarkEnd w:id="278"/>
    </w:p>
    <w:p>
      <w:pPr>
        <w:spacing w:line="360" w:lineRule="auto"/>
        <w:jc w:val="center"/>
        <w:outlineLvl w:val="0"/>
        <w:rPr>
          <w:b/>
          <w:bCs/>
          <w:sz w:val="30"/>
          <w:szCs w:val="30"/>
        </w:rPr>
      </w:pPr>
      <w:r>
        <w:rPr>
          <w:rFonts w:hAnsi="宋体"/>
        </w:rPr>
        <w:br w:type="page"/>
      </w:r>
      <w:bookmarkStart w:id="279" w:name="_Toc24393"/>
      <w:bookmarkStart w:id="280" w:name="_Toc9767"/>
      <w:bookmarkStart w:id="281" w:name="_Toc15043"/>
      <w:bookmarkStart w:id="282" w:name="_Toc1402"/>
      <w:r>
        <w:rPr>
          <w:rFonts w:hint="eastAsia"/>
          <w:b/>
          <w:bCs/>
          <w:sz w:val="30"/>
          <w:szCs w:val="30"/>
          <w:lang w:val="en-US" w:eastAsia="zh-CN"/>
        </w:rPr>
        <w:t>1、</w:t>
      </w:r>
      <w:r>
        <w:rPr>
          <w:rFonts w:hint="eastAsia"/>
          <w:b/>
          <w:bCs/>
          <w:sz w:val="30"/>
          <w:szCs w:val="30"/>
        </w:rPr>
        <w:t>响</w:t>
      </w:r>
      <w:r>
        <w:rPr>
          <w:b/>
          <w:bCs/>
          <w:sz w:val="30"/>
          <w:szCs w:val="30"/>
        </w:rPr>
        <w:t xml:space="preserve"> </w:t>
      </w:r>
      <w:r>
        <w:rPr>
          <w:rFonts w:hint="eastAsia"/>
          <w:b/>
          <w:bCs/>
          <w:sz w:val="30"/>
          <w:szCs w:val="30"/>
        </w:rPr>
        <w:t>应</w:t>
      </w:r>
      <w:r>
        <w:rPr>
          <w:b/>
          <w:bCs/>
          <w:sz w:val="30"/>
          <w:szCs w:val="30"/>
        </w:rPr>
        <w:t xml:space="preserve"> </w:t>
      </w:r>
      <w:r>
        <w:rPr>
          <w:rFonts w:hint="eastAsia"/>
          <w:b/>
          <w:bCs/>
          <w:sz w:val="30"/>
          <w:szCs w:val="30"/>
        </w:rPr>
        <w:t>函</w:t>
      </w:r>
      <w:bookmarkEnd w:id="279"/>
      <w:bookmarkEnd w:id="280"/>
      <w:bookmarkEnd w:id="281"/>
      <w:bookmarkEnd w:id="282"/>
    </w:p>
    <w:p>
      <w:pPr>
        <w:spacing w:line="360" w:lineRule="auto"/>
        <w:ind w:firstLine="480" w:firstLineChars="200"/>
        <w:rPr>
          <w:rFonts w:ascii="宋体"/>
          <w:sz w:val="24"/>
        </w:rPr>
      </w:pPr>
      <w:r>
        <w:rPr>
          <w:rFonts w:hint="eastAsia" w:ascii="宋体" w:hAnsi="宋体"/>
          <w:sz w:val="24"/>
        </w:rPr>
        <w:t>致：（采购人）</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sz w:val="24"/>
        </w:rPr>
        <w:t>根据贵方为</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项目的询价邀请（</w:t>
      </w:r>
      <w:r>
        <w:rPr>
          <w:rFonts w:hint="eastAsia" w:ascii="宋体" w:hAnsi="宋体"/>
          <w:sz w:val="24"/>
          <w:u w:val="single"/>
        </w:rPr>
        <w:t>采购编号</w:t>
      </w:r>
      <w:r>
        <w:rPr>
          <w:rFonts w:hint="eastAsia" w:ascii="宋体" w:hAnsi="宋体"/>
          <w:sz w:val="24"/>
        </w:rPr>
        <w:t>）</w:t>
      </w:r>
      <w:r>
        <w:rPr>
          <w:rFonts w:ascii="宋体" w:hAnsi="宋体"/>
          <w:sz w:val="24"/>
        </w:rPr>
        <w:t xml:space="preserve"> </w:t>
      </w:r>
      <w:r>
        <w:rPr>
          <w:rFonts w:hint="eastAsia" w:ascii="宋体" w:hAnsi="宋体"/>
          <w:sz w:val="24"/>
        </w:rPr>
        <w:t>，本签字代表</w:t>
      </w:r>
      <w:r>
        <w:rPr>
          <w:rFonts w:hint="eastAsia" w:ascii="宋体" w:hAnsi="宋体"/>
          <w:sz w:val="24"/>
          <w:u w:val="single"/>
          <w:lang w:val="en-US" w:eastAsia="zh-CN"/>
        </w:rPr>
        <w:t xml:space="preserve">    </w:t>
      </w:r>
      <w:r>
        <w:rPr>
          <w:rFonts w:hint="eastAsia" w:ascii="宋体" w:hAnsi="宋体"/>
          <w:sz w:val="24"/>
          <w:u w:val="single"/>
        </w:rPr>
        <w:t>（全名、职务）</w:t>
      </w:r>
      <w:r>
        <w:rPr>
          <w:rFonts w:hint="eastAsia" w:ascii="宋体" w:hAnsi="宋体"/>
          <w:sz w:val="24"/>
        </w:rPr>
        <w:t>正式授权并代表询价供应商</w:t>
      </w:r>
      <w:r>
        <w:rPr>
          <w:rFonts w:hint="eastAsia" w:ascii="宋体" w:hAnsi="宋体"/>
          <w:sz w:val="24"/>
          <w:u w:val="single"/>
        </w:rPr>
        <w:t>（询价供应商名称、地址）</w:t>
      </w:r>
      <w:r>
        <w:rPr>
          <w:rFonts w:hint="eastAsia" w:ascii="宋体" w:hAnsi="宋体"/>
          <w:sz w:val="24"/>
        </w:rPr>
        <w:t>提交下述文件。</w:t>
      </w:r>
    </w:p>
    <w:p>
      <w:pPr>
        <w:spacing w:line="360" w:lineRule="auto"/>
        <w:ind w:firstLine="480" w:firstLineChars="200"/>
        <w:rPr>
          <w:rFonts w:ascii="宋体"/>
          <w:sz w:val="24"/>
        </w:rPr>
      </w:pPr>
      <w:bookmarkStart w:id="283" w:name="_Toc7758"/>
      <w:r>
        <w:rPr>
          <w:rFonts w:ascii="宋体" w:hAnsi="宋体"/>
          <w:sz w:val="24"/>
        </w:rPr>
        <w:t xml:space="preserve">1 </w:t>
      </w:r>
      <w:r>
        <w:rPr>
          <w:rFonts w:hint="eastAsia" w:ascii="宋体" w:hAnsi="宋体"/>
          <w:sz w:val="24"/>
        </w:rPr>
        <w:t>响应书</w:t>
      </w:r>
      <w:bookmarkEnd w:id="283"/>
    </w:p>
    <w:p>
      <w:pPr>
        <w:spacing w:line="360" w:lineRule="auto"/>
        <w:ind w:firstLine="480" w:firstLineChars="200"/>
        <w:rPr>
          <w:rFonts w:ascii="宋体"/>
          <w:sz w:val="24"/>
        </w:rPr>
      </w:pPr>
      <w:r>
        <w:rPr>
          <w:rFonts w:ascii="宋体" w:hAnsi="宋体"/>
          <w:sz w:val="24"/>
        </w:rPr>
        <w:t>2</w:t>
      </w:r>
      <w:r>
        <w:rPr>
          <w:rFonts w:hint="eastAsia" w:ascii="宋体" w:hAnsi="宋体"/>
          <w:sz w:val="24"/>
        </w:rPr>
        <w:t>报价一览表</w:t>
      </w:r>
    </w:p>
    <w:p>
      <w:pPr>
        <w:spacing w:line="360" w:lineRule="auto"/>
        <w:ind w:firstLine="480" w:firstLineChars="200"/>
        <w:rPr>
          <w:rFonts w:ascii="宋体"/>
          <w:sz w:val="24"/>
        </w:rPr>
      </w:pPr>
      <w:r>
        <w:rPr>
          <w:rFonts w:ascii="宋体" w:hAnsi="宋体"/>
          <w:sz w:val="24"/>
        </w:rPr>
        <w:t>3</w:t>
      </w:r>
      <w:r>
        <w:rPr>
          <w:rFonts w:hint="eastAsia" w:ascii="宋体" w:hAnsi="宋体"/>
          <w:sz w:val="24"/>
        </w:rPr>
        <w:t>报价分项表</w:t>
      </w:r>
    </w:p>
    <w:p>
      <w:pPr>
        <w:spacing w:line="360" w:lineRule="auto"/>
        <w:ind w:firstLine="480" w:firstLineChars="200"/>
        <w:rPr>
          <w:rFonts w:ascii="宋体"/>
          <w:sz w:val="24"/>
        </w:rPr>
      </w:pPr>
      <w:r>
        <w:rPr>
          <w:rFonts w:ascii="宋体" w:hAnsi="宋体"/>
          <w:sz w:val="24"/>
        </w:rPr>
        <w:t xml:space="preserve">4 </w:t>
      </w:r>
      <w:r>
        <w:rPr>
          <w:rFonts w:hint="eastAsia" w:ascii="宋体" w:hAnsi="宋体"/>
          <w:sz w:val="24"/>
        </w:rPr>
        <w:t>资格证明文件</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）已缴纳询价保证金的证明材料复印件；</w:t>
      </w:r>
    </w:p>
    <w:p>
      <w:pPr>
        <w:spacing w:line="360" w:lineRule="auto"/>
        <w:ind w:firstLine="480" w:firstLineChars="200"/>
        <w:rPr>
          <w:rFonts w:ascii="宋体"/>
          <w:sz w:val="24"/>
          <w:szCs w:val="18"/>
        </w:rPr>
      </w:pPr>
      <w:r>
        <w:rPr>
          <w:rFonts w:hint="eastAsia" w:ascii="宋体" w:hAnsi="宋体"/>
          <w:sz w:val="24"/>
          <w:szCs w:val="18"/>
        </w:rPr>
        <w:t>（</w:t>
      </w:r>
      <w:r>
        <w:rPr>
          <w:rFonts w:ascii="宋体" w:hAnsi="宋体"/>
          <w:sz w:val="24"/>
          <w:szCs w:val="18"/>
        </w:rPr>
        <w:t>2</w:t>
      </w:r>
      <w:r>
        <w:rPr>
          <w:rFonts w:hint="eastAsia" w:ascii="宋体" w:hAnsi="宋体"/>
          <w:sz w:val="24"/>
          <w:szCs w:val="18"/>
        </w:rPr>
        <w:t>）有效的法人营业执照复印件</w:t>
      </w:r>
      <w:r>
        <w:rPr>
          <w:rFonts w:hint="eastAsia" w:ascii="宋体" w:hAnsi="宋体" w:cs="宋体"/>
          <w:sz w:val="24"/>
        </w:rPr>
        <w:t>或其他法人登记证书复印件</w:t>
      </w:r>
      <w:r>
        <w:rPr>
          <w:rFonts w:hint="eastAsia" w:ascii="宋体" w:hAnsi="宋体"/>
          <w:sz w:val="24"/>
          <w:szCs w:val="18"/>
        </w:rPr>
        <w:t>；</w:t>
      </w:r>
    </w:p>
    <w:p>
      <w:pPr>
        <w:spacing w:line="360" w:lineRule="auto"/>
        <w:ind w:firstLine="480" w:firstLineChars="200"/>
        <w:rPr>
          <w:rFonts w:ascii="宋体"/>
          <w:sz w:val="24"/>
          <w:szCs w:val="18"/>
        </w:rPr>
      </w:pPr>
      <w:r>
        <w:rPr>
          <w:rFonts w:hint="eastAsia" w:ascii="宋体" w:hAnsi="宋体"/>
          <w:sz w:val="24"/>
          <w:szCs w:val="18"/>
        </w:rPr>
        <w:t>（</w:t>
      </w:r>
      <w:r>
        <w:rPr>
          <w:rFonts w:ascii="宋体" w:hAnsi="宋体"/>
          <w:sz w:val="24"/>
          <w:szCs w:val="18"/>
        </w:rPr>
        <w:t>3</w:t>
      </w:r>
      <w:r>
        <w:rPr>
          <w:rFonts w:hint="eastAsia" w:ascii="宋体" w:hAnsi="宋体"/>
          <w:sz w:val="24"/>
          <w:szCs w:val="18"/>
        </w:rPr>
        <w:t>）法定代表人授权书原件（非法定代表人参加时提供）；</w:t>
      </w:r>
    </w:p>
    <w:p>
      <w:pPr>
        <w:spacing w:line="360" w:lineRule="auto"/>
        <w:ind w:firstLine="480" w:firstLineChars="200"/>
        <w:rPr>
          <w:rFonts w:ascii="宋体"/>
          <w:sz w:val="24"/>
          <w:szCs w:val="18"/>
        </w:rPr>
      </w:pPr>
      <w:r>
        <w:rPr>
          <w:rFonts w:hint="eastAsia" w:ascii="宋体" w:hAnsi="宋体" w:cs="宋体"/>
          <w:sz w:val="24"/>
        </w:rPr>
        <w:t>（</w:t>
      </w:r>
      <w:r>
        <w:rPr>
          <w:rFonts w:ascii="宋体" w:hAnsi="宋体" w:cs="宋体"/>
          <w:sz w:val="24"/>
        </w:rPr>
        <w:t>4</w:t>
      </w:r>
      <w:r>
        <w:rPr>
          <w:rFonts w:hint="eastAsia" w:ascii="宋体" w:hAnsi="宋体" w:cs="宋体"/>
          <w:sz w:val="24"/>
        </w:rPr>
        <w:t>）供应商投标截止时间前通过“信用中国”网站（</w:t>
      </w:r>
      <w:r>
        <w:rPr>
          <w:rFonts w:ascii="宋体" w:hAnsi="宋体" w:cs="宋体"/>
          <w:sz w:val="24"/>
        </w:rPr>
        <w:t>www.creditchina.gov.cn</w:t>
      </w:r>
      <w:r>
        <w:rPr>
          <w:rFonts w:hint="eastAsia" w:ascii="宋体" w:hAnsi="宋体" w:cs="宋体"/>
          <w:sz w:val="24"/>
        </w:rPr>
        <w:t>）查询并打印相应的信用记录，供应商提供的查询结果应为其通过上述网站获取的信用信息查询结果原始页面的打印件（或截图）</w:t>
      </w:r>
      <w:r>
        <w:rPr>
          <w:rFonts w:hint="eastAsia" w:ascii="宋体" w:hAnsi="宋体"/>
          <w:sz w:val="24"/>
          <w:szCs w:val="18"/>
        </w:rPr>
        <w:t>；</w:t>
      </w:r>
    </w:p>
    <w:p>
      <w:pPr>
        <w:spacing w:line="360" w:lineRule="auto"/>
        <w:ind w:firstLine="480" w:firstLineChars="200"/>
        <w:rPr>
          <w:rFonts w:ascii="宋体"/>
          <w:sz w:val="24"/>
        </w:rPr>
      </w:pPr>
      <w:r>
        <w:rPr>
          <w:rFonts w:ascii="宋体" w:hAnsi="宋体"/>
          <w:sz w:val="24"/>
        </w:rPr>
        <w:t>5</w:t>
      </w:r>
      <w:r>
        <w:rPr>
          <w:rFonts w:hint="eastAsia" w:ascii="宋体" w:hAnsi="宋体"/>
          <w:sz w:val="24"/>
        </w:rPr>
        <w:t>技术和服务要求响应表</w:t>
      </w:r>
    </w:p>
    <w:p>
      <w:pPr>
        <w:spacing w:line="360" w:lineRule="auto"/>
        <w:ind w:firstLine="480" w:firstLineChars="200"/>
        <w:rPr>
          <w:rFonts w:ascii="宋体"/>
          <w:sz w:val="24"/>
        </w:rPr>
      </w:pPr>
      <w:r>
        <w:rPr>
          <w:rFonts w:ascii="宋体" w:hAnsi="宋体"/>
          <w:sz w:val="24"/>
        </w:rPr>
        <w:t>6</w:t>
      </w:r>
      <w:r>
        <w:rPr>
          <w:rFonts w:hint="eastAsia" w:ascii="宋体" w:hAnsi="宋体"/>
          <w:sz w:val="24"/>
        </w:rPr>
        <w:t>采购内容及要求的承诺书</w:t>
      </w:r>
    </w:p>
    <w:p>
      <w:pPr>
        <w:spacing w:line="360" w:lineRule="auto"/>
        <w:ind w:left="120" w:leftChars="57" w:firstLine="360" w:firstLineChars="150"/>
        <w:rPr>
          <w:rFonts w:ascii="宋体"/>
          <w:sz w:val="24"/>
        </w:rPr>
      </w:pPr>
      <w:r>
        <w:rPr>
          <w:rFonts w:ascii="宋体" w:hAnsi="宋体"/>
          <w:sz w:val="24"/>
        </w:rPr>
        <w:t>7</w:t>
      </w:r>
      <w:r>
        <w:rPr>
          <w:rFonts w:hint="eastAsia" w:ascii="宋体" w:hAnsi="宋体"/>
          <w:sz w:val="24"/>
        </w:rPr>
        <w:t>提交的其他资料（若无此项资料则无需提供）</w:t>
      </w:r>
    </w:p>
    <w:p>
      <w:pPr>
        <w:spacing w:line="360" w:lineRule="auto"/>
        <w:ind w:firstLine="480" w:firstLineChars="200"/>
        <w:rPr>
          <w:rFonts w:ascii="宋体"/>
          <w:sz w:val="24"/>
        </w:rPr>
      </w:pPr>
      <w:r>
        <w:rPr>
          <w:rFonts w:hint="eastAsia" w:ascii="宋体" w:hAnsi="宋体"/>
          <w:sz w:val="24"/>
        </w:rPr>
        <w:t>据此函，签字代表宣布同意如下：</w:t>
      </w:r>
    </w:p>
    <w:p>
      <w:pPr>
        <w:spacing w:line="360" w:lineRule="auto"/>
        <w:ind w:firstLine="480" w:firstLineChars="200"/>
        <w:rPr>
          <w:rFonts w:ascii="宋体"/>
          <w:sz w:val="24"/>
        </w:rPr>
      </w:pPr>
      <w:r>
        <w:rPr>
          <w:rFonts w:ascii="宋体" w:hAnsi="宋体"/>
          <w:sz w:val="24"/>
        </w:rPr>
        <w:t>1.</w:t>
      </w:r>
      <w:r>
        <w:rPr>
          <w:rFonts w:hint="eastAsia" w:ascii="宋体" w:hAnsi="宋体"/>
          <w:sz w:val="24"/>
        </w:rPr>
        <w:t>所附详细报价表中规定的应提供和交付的货物及服务报价总价（国内现场交货价）。</w:t>
      </w:r>
    </w:p>
    <w:p>
      <w:pPr>
        <w:spacing w:line="360" w:lineRule="auto"/>
        <w:ind w:firstLine="480" w:firstLineChars="200"/>
        <w:rPr>
          <w:rFonts w:ascii="宋体"/>
          <w:sz w:val="24"/>
        </w:rPr>
      </w:pPr>
      <w:r>
        <w:rPr>
          <w:rFonts w:ascii="宋体" w:hAnsi="宋体"/>
          <w:sz w:val="24"/>
        </w:rPr>
        <w:t>2.</w:t>
      </w:r>
      <w:r>
        <w:rPr>
          <w:rFonts w:hint="eastAsia" w:ascii="宋体" w:hAnsi="宋体"/>
          <w:sz w:val="24"/>
        </w:rPr>
        <w:t>已详细审查全部询价通知书，包括修改文件（如有的话）和有关附件，将自行承担因对全部询价通知书理解不正确或误解而产生的相应后果。</w:t>
      </w:r>
    </w:p>
    <w:p>
      <w:pPr>
        <w:spacing w:line="360" w:lineRule="auto"/>
        <w:ind w:firstLine="480" w:firstLineChars="200"/>
        <w:rPr>
          <w:rFonts w:ascii="宋体"/>
          <w:sz w:val="24"/>
        </w:rPr>
      </w:pPr>
      <w:r>
        <w:rPr>
          <w:rFonts w:ascii="宋体" w:hAnsi="宋体"/>
          <w:sz w:val="24"/>
        </w:rPr>
        <w:t>3.</w:t>
      </w:r>
      <w:r>
        <w:rPr>
          <w:rFonts w:hint="eastAsia" w:ascii="宋体" w:hAnsi="宋体"/>
          <w:sz w:val="24"/>
        </w:rPr>
        <w:t>保证遵守询价通知书的全部规定，所提交的材料中所含的信息均为真实、准确、完整，且不具有任何误导性。</w:t>
      </w:r>
    </w:p>
    <w:p>
      <w:pPr>
        <w:spacing w:line="360" w:lineRule="auto"/>
        <w:ind w:firstLine="480" w:firstLineChars="200"/>
        <w:rPr>
          <w:rFonts w:ascii="宋体"/>
          <w:sz w:val="24"/>
        </w:rPr>
      </w:pPr>
      <w:r>
        <w:rPr>
          <w:rFonts w:ascii="宋体" w:hAnsi="宋体"/>
          <w:sz w:val="24"/>
        </w:rPr>
        <w:t>4.</w:t>
      </w:r>
      <w:r>
        <w:rPr>
          <w:rFonts w:hint="eastAsia" w:ascii="宋体" w:hAnsi="宋体"/>
          <w:sz w:val="24"/>
        </w:rPr>
        <w:t>将按询价通知书的规定履行合同责任和义务。</w:t>
      </w:r>
    </w:p>
    <w:p>
      <w:pPr>
        <w:spacing w:line="360" w:lineRule="auto"/>
        <w:ind w:firstLine="480" w:firstLineChars="200"/>
        <w:rPr>
          <w:rFonts w:ascii="宋体"/>
          <w:sz w:val="24"/>
        </w:rPr>
      </w:pPr>
      <w:r>
        <w:rPr>
          <w:rFonts w:ascii="宋体" w:hAnsi="宋体"/>
          <w:sz w:val="24"/>
        </w:rPr>
        <w:t>5.</w:t>
      </w:r>
      <w:r>
        <w:rPr>
          <w:rFonts w:hint="eastAsia" w:ascii="宋体" w:hAnsi="宋体"/>
          <w:sz w:val="24"/>
        </w:rPr>
        <w:t>本询价响应文件自询价采购会当日起询价响应有效期为</w:t>
      </w:r>
      <w:r>
        <w:rPr>
          <w:rFonts w:ascii="宋体" w:hAnsi="宋体"/>
          <w:sz w:val="24"/>
        </w:rPr>
        <w:t>90</w:t>
      </w:r>
      <w:r>
        <w:rPr>
          <w:rFonts w:hint="eastAsia" w:ascii="宋体" w:hAnsi="宋体"/>
          <w:sz w:val="24"/>
        </w:rPr>
        <w:t>个日历日，在询价通知书询价供应商须知前附表第</w:t>
      </w:r>
      <w:r>
        <w:rPr>
          <w:rFonts w:ascii="宋体" w:hAnsi="宋体"/>
          <w:sz w:val="24"/>
        </w:rPr>
        <w:t>3</w:t>
      </w:r>
      <w:r>
        <w:rPr>
          <w:rFonts w:hint="eastAsia" w:ascii="宋体" w:hAnsi="宋体"/>
          <w:sz w:val="24"/>
        </w:rPr>
        <w:t>项所规定的期限内保持有效。</w:t>
      </w:r>
    </w:p>
    <w:p>
      <w:pPr>
        <w:spacing w:line="360" w:lineRule="auto"/>
        <w:ind w:firstLine="480" w:firstLineChars="200"/>
        <w:rPr>
          <w:rFonts w:ascii="宋体"/>
          <w:sz w:val="24"/>
        </w:rPr>
      </w:pPr>
      <w:r>
        <w:rPr>
          <w:rFonts w:ascii="宋体" w:hAnsi="宋体"/>
          <w:sz w:val="24"/>
        </w:rPr>
        <w:t>6.</w:t>
      </w:r>
      <w:r>
        <w:rPr>
          <w:rFonts w:hint="eastAsia" w:ascii="宋体" w:hAnsi="宋体"/>
          <w:sz w:val="24"/>
        </w:rPr>
        <w:t>如果发生询价通知书第二章询价供应商须知第</w:t>
      </w:r>
      <w:r>
        <w:rPr>
          <w:rFonts w:ascii="宋体" w:hAnsi="宋体"/>
          <w:sz w:val="24"/>
        </w:rPr>
        <w:t>12</w:t>
      </w:r>
      <w:r>
        <w:rPr>
          <w:rFonts w:hint="eastAsia" w:ascii="宋体" w:hAnsi="宋体"/>
          <w:sz w:val="24"/>
        </w:rPr>
        <w:t>条所述情况，则同意招标代理机构不予退还询价保证金。如果存在提供虚假材料谋取成交的、采取不正当手段诋毁、排挤其他供应商的以及与采购单位或招标代理机构、其他询价供应商恶意串通的等情况，同意接受列入不良行为记录名单，三年内禁止参加</w:t>
      </w:r>
      <w:r>
        <w:rPr>
          <w:rFonts w:hint="eastAsia" w:ascii="宋体" w:hAnsi="宋体"/>
          <w:sz w:val="24"/>
          <w:lang w:eastAsia="zh-CN"/>
        </w:rPr>
        <w:t>龙岩城市发展集团有限公司</w:t>
      </w:r>
      <w:r>
        <w:rPr>
          <w:rFonts w:hint="eastAsia" w:ascii="宋体" w:hAnsi="宋体"/>
          <w:sz w:val="24"/>
        </w:rPr>
        <w:t>活动等处罚，并同意予以公告。</w:t>
      </w:r>
    </w:p>
    <w:p>
      <w:pPr>
        <w:pStyle w:val="3"/>
        <w:spacing w:before="50" w:line="360" w:lineRule="auto"/>
        <w:ind w:left="0" w:leftChars="0" w:firstLine="480" w:firstLineChars="200"/>
        <w:rPr>
          <w:rFonts w:ascii="宋体"/>
          <w:sz w:val="24"/>
        </w:rPr>
      </w:pPr>
      <w:r>
        <w:rPr>
          <w:rFonts w:ascii="宋体" w:hAnsi="宋体"/>
          <w:sz w:val="24"/>
        </w:rPr>
        <w:t>7.</w:t>
      </w:r>
      <w:r>
        <w:rPr>
          <w:rFonts w:hint="eastAsia" w:ascii="宋体" w:hAnsi="宋体"/>
          <w:sz w:val="24"/>
        </w:rPr>
        <w:t>保证遵守有关法律法规的规定，绝无作弊垄断或借用证照、串标、围标等不法情事，倘有违反规定导致被取消资格时，愿放弃所有与项目有关的权利，绝无异议。</w:t>
      </w:r>
    </w:p>
    <w:p>
      <w:pPr>
        <w:spacing w:line="360" w:lineRule="auto"/>
        <w:ind w:firstLine="480" w:firstLineChars="200"/>
        <w:rPr>
          <w:rFonts w:ascii="宋体"/>
          <w:sz w:val="24"/>
        </w:rPr>
      </w:pPr>
      <w:r>
        <w:rPr>
          <w:rFonts w:ascii="宋体" w:hAnsi="宋体"/>
          <w:sz w:val="24"/>
        </w:rPr>
        <w:t>8.</w:t>
      </w:r>
      <w:r>
        <w:rPr>
          <w:rFonts w:hint="eastAsia" w:ascii="宋体" w:hAnsi="宋体"/>
          <w:sz w:val="24"/>
        </w:rPr>
        <w:t>同意提供按照采购单位或招标代理机构可能要求的与其询价有关的一切数据或资料，完全理解贵方不一定要接受最低的报价或收到的任何询价响应文件。</w:t>
      </w:r>
    </w:p>
    <w:p>
      <w:pPr>
        <w:spacing w:line="360" w:lineRule="auto"/>
        <w:ind w:firstLine="480" w:firstLineChars="200"/>
        <w:rPr>
          <w:rFonts w:ascii="宋体"/>
          <w:sz w:val="24"/>
        </w:rPr>
      </w:pPr>
      <w:r>
        <w:rPr>
          <w:rFonts w:ascii="宋体" w:hAnsi="宋体"/>
          <w:sz w:val="24"/>
        </w:rPr>
        <w:t>9.</w:t>
      </w:r>
      <w:r>
        <w:rPr>
          <w:rFonts w:hint="eastAsia" w:ascii="宋体" w:hAnsi="宋体"/>
          <w:sz w:val="24"/>
        </w:rPr>
        <w:t>与本询价有关的一切正式往来通讯请寄：</w:t>
      </w:r>
    </w:p>
    <w:p>
      <w:pPr>
        <w:spacing w:line="360" w:lineRule="auto"/>
        <w:ind w:firstLine="480" w:firstLineChars="200"/>
        <w:rPr>
          <w:rFonts w:ascii="宋体"/>
          <w:sz w:val="24"/>
          <w:u w:val="single"/>
        </w:rPr>
      </w:pPr>
      <w:r>
        <w:rPr>
          <w:rFonts w:hint="eastAsia" w:ascii="宋体" w:hAnsi="宋体"/>
          <w:sz w:val="24"/>
        </w:rPr>
        <w:t>地址：</w:t>
      </w:r>
      <w:r>
        <w:rPr>
          <w:rFonts w:ascii="宋体" w:hAnsi="宋体"/>
          <w:sz w:val="24"/>
        </w:rPr>
        <w:t xml:space="preserve">  </w:t>
      </w:r>
      <w:r>
        <w:rPr>
          <w:rFonts w:hint="eastAsia" w:ascii="宋体" w:hAnsi="宋体"/>
          <w:sz w:val="24"/>
        </w:rPr>
        <w:t>邮编：</w:t>
      </w:r>
      <w:r>
        <w:rPr>
          <w:rFonts w:ascii="宋体" w:hAnsi="宋体"/>
          <w:sz w:val="24"/>
        </w:rPr>
        <w:t xml:space="preserve"> </w:t>
      </w:r>
    </w:p>
    <w:p>
      <w:pPr>
        <w:spacing w:line="360" w:lineRule="auto"/>
        <w:ind w:firstLine="480" w:firstLineChars="200"/>
        <w:rPr>
          <w:rFonts w:ascii="宋体"/>
          <w:sz w:val="24"/>
          <w:u w:val="single"/>
        </w:rPr>
      </w:pPr>
      <w:r>
        <w:rPr>
          <w:rFonts w:hint="eastAsia" w:ascii="宋体" w:hAnsi="宋体"/>
          <w:sz w:val="24"/>
        </w:rPr>
        <w:t>电话：</w:t>
      </w:r>
      <w:r>
        <w:rPr>
          <w:rFonts w:ascii="宋体" w:hAnsi="宋体"/>
          <w:sz w:val="24"/>
        </w:rPr>
        <w:t xml:space="preserve">  </w:t>
      </w:r>
      <w:r>
        <w:rPr>
          <w:rFonts w:hint="eastAsia" w:ascii="宋体" w:hAnsi="宋体"/>
          <w:sz w:val="24"/>
        </w:rPr>
        <w:t>传真：</w:t>
      </w:r>
      <w:r>
        <w:rPr>
          <w:rFonts w:ascii="宋体" w:hAnsi="宋体"/>
          <w:sz w:val="24"/>
        </w:rPr>
        <w:t xml:space="preserve"> </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u w:val="single"/>
        </w:rPr>
      </w:pPr>
      <w:r>
        <w:rPr>
          <w:rFonts w:hint="eastAsia" w:ascii="宋体" w:hAnsi="宋体"/>
          <w:sz w:val="24"/>
        </w:rPr>
        <w:t>询价供应商代表签字或盖章：</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询价供应商（全称并加盖公章）：</w:t>
      </w:r>
    </w:p>
    <w:p>
      <w:pPr>
        <w:spacing w:line="360" w:lineRule="auto"/>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sz w:val="24"/>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jc w:val="center"/>
        <w:outlineLvl w:val="0"/>
        <w:rPr>
          <w:b/>
          <w:bCs/>
          <w:sz w:val="32"/>
          <w:szCs w:val="32"/>
        </w:rPr>
      </w:pPr>
      <w:bookmarkStart w:id="284" w:name="_Toc15290"/>
      <w:bookmarkStart w:id="285" w:name="_Toc31940"/>
      <w:bookmarkStart w:id="286" w:name="_Toc20283"/>
      <w:r>
        <w:rPr>
          <w:rFonts w:hint="eastAsia"/>
          <w:b/>
          <w:bCs/>
          <w:sz w:val="32"/>
          <w:szCs w:val="32"/>
          <w:lang w:val="en-US" w:eastAsia="zh-CN"/>
        </w:rPr>
        <w:t>2、</w:t>
      </w:r>
      <w:r>
        <w:rPr>
          <w:rFonts w:hint="eastAsia"/>
          <w:b/>
          <w:bCs/>
          <w:sz w:val="32"/>
          <w:szCs w:val="32"/>
        </w:rPr>
        <w:t>报价一览表</w:t>
      </w:r>
      <w:bookmarkEnd w:id="284"/>
      <w:bookmarkEnd w:id="285"/>
      <w:bookmarkEnd w:id="286"/>
    </w:p>
    <w:p>
      <w:pPr>
        <w:spacing w:line="360" w:lineRule="auto"/>
        <w:ind w:firstLine="480" w:firstLineChars="200"/>
        <w:rPr>
          <w:rFonts w:ascii="宋体"/>
          <w:sz w:val="24"/>
        </w:rPr>
      </w:pPr>
      <w:r>
        <w:rPr>
          <w:rFonts w:hint="eastAsia" w:ascii="宋体" w:hAnsi="宋体"/>
          <w:sz w:val="24"/>
        </w:rPr>
        <w:t>供应商名称：</w:t>
      </w:r>
      <w:r>
        <w:rPr>
          <w:rFonts w:hint="eastAsia" w:ascii="宋体" w:hAnsi="宋体"/>
          <w:b/>
          <w:sz w:val="24"/>
        </w:rPr>
        <w:t>（全称并加盖公章）</w:t>
      </w:r>
      <w:r>
        <w:rPr>
          <w:rFonts w:ascii="宋体" w:hAnsi="宋体"/>
          <w:sz w:val="24"/>
        </w:rPr>
        <w:t xml:space="preserve">        </w:t>
      </w:r>
      <w:r>
        <w:rPr>
          <w:rFonts w:hint="eastAsia" w:ascii="宋体" w:hAnsi="宋体"/>
          <w:sz w:val="24"/>
        </w:rPr>
        <w:t>采购编号∶</w:t>
      </w:r>
      <w:r>
        <w:rPr>
          <w:rFonts w:ascii="宋体" w:hAnsi="宋体"/>
          <w:sz w:val="24"/>
        </w:rPr>
        <w:t xml:space="preserve">      </w:t>
      </w:r>
      <w:r>
        <w:rPr>
          <w:rFonts w:hint="eastAsia" w:ascii="宋体" w:hAnsi="宋体"/>
          <w:sz w:val="24"/>
        </w:rPr>
        <w:t>货币单位：元</w:t>
      </w:r>
    </w:p>
    <w:tbl>
      <w:tblPr>
        <w:tblStyle w:val="30"/>
        <w:tblpPr w:leftFromText="180" w:rightFromText="180" w:vertAnchor="text" w:horzAnchor="page" w:tblpX="1793" w:tblpY="455"/>
        <w:tblOverlap w:val="never"/>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162"/>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782" w:type="dxa"/>
            <w:noWrap/>
            <w:vAlign w:val="center"/>
          </w:tcPr>
          <w:p>
            <w:pPr>
              <w:spacing w:line="360" w:lineRule="auto"/>
              <w:jc w:val="center"/>
              <w:rPr>
                <w:rFonts w:ascii="宋体"/>
                <w:b/>
                <w:sz w:val="24"/>
              </w:rPr>
            </w:pPr>
            <w:r>
              <w:rPr>
                <w:rFonts w:hint="eastAsia" w:ascii="宋体" w:hAnsi="宋体"/>
                <w:b/>
                <w:sz w:val="24"/>
                <w:lang w:val="en-US" w:eastAsia="zh-CN"/>
              </w:rPr>
              <w:t>合同</w:t>
            </w:r>
            <w:r>
              <w:rPr>
                <w:rFonts w:hint="eastAsia" w:ascii="宋体" w:hAnsi="宋体"/>
                <w:b/>
                <w:sz w:val="24"/>
              </w:rPr>
              <w:t>号</w:t>
            </w:r>
          </w:p>
          <w:p>
            <w:pPr>
              <w:keepNext w:val="0"/>
              <w:keepLines w:val="0"/>
              <w:widowControl/>
              <w:suppressLineNumbers w:val="0"/>
              <w:jc w:val="center"/>
              <w:textAlignment w:val="center"/>
              <w:rPr>
                <w:rFonts w:ascii="宋体"/>
                <w:sz w:val="24"/>
              </w:rPr>
            </w:pPr>
          </w:p>
        </w:tc>
        <w:tc>
          <w:tcPr>
            <w:tcW w:w="2162" w:type="dxa"/>
            <w:noWrap/>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iCs w:val="0"/>
                <w:color w:val="auto"/>
                <w:kern w:val="0"/>
                <w:sz w:val="24"/>
                <w:szCs w:val="24"/>
                <w:u w:val="none"/>
                <w:lang w:val="en-US" w:eastAsia="zh-CN" w:bidi="ar"/>
              </w:rPr>
              <w:t>设备/材料名称</w:t>
            </w:r>
          </w:p>
        </w:tc>
        <w:tc>
          <w:tcPr>
            <w:tcW w:w="5118" w:type="dxa"/>
            <w:noWrap/>
            <w:vAlign w:val="center"/>
          </w:tcPr>
          <w:p>
            <w:pPr>
              <w:spacing w:line="360" w:lineRule="auto"/>
              <w:jc w:val="center"/>
              <w:rPr>
                <w:rFonts w:hint="eastAsia" w:ascii="宋体" w:hAnsi="宋体"/>
                <w:sz w:val="24"/>
              </w:rPr>
            </w:pPr>
            <w:r>
              <w:rPr>
                <w:rFonts w:hint="eastAsia" w:ascii="宋体" w:hAnsi="宋体"/>
                <w:sz w:val="24"/>
              </w:rPr>
              <w:t>投</w:t>
            </w:r>
            <w:r>
              <w:rPr>
                <w:rFonts w:hint="eastAsia" w:ascii="宋体" w:hAnsi="宋体"/>
                <w:sz w:val="24"/>
                <w:lang w:val="en-US" w:eastAsia="zh-CN"/>
              </w:rPr>
              <w:t>标总</w:t>
            </w:r>
            <w:r>
              <w:rPr>
                <w:rFonts w:hint="eastAsia" w:ascii="宋体" w:hAnsi="宋体"/>
                <w:sz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782" w:type="dxa"/>
            <w:noWrap/>
            <w:vAlign w:val="center"/>
          </w:tcPr>
          <w:p>
            <w:pPr>
              <w:tabs>
                <w:tab w:val="left" w:pos="346"/>
              </w:tabs>
              <w:spacing w:line="360" w:lineRule="auto"/>
              <w:jc w:val="center"/>
              <w:rPr>
                <w:rFonts w:hint="eastAsia" w:ascii="宋体" w:eastAsia="宋体"/>
                <w:sz w:val="24"/>
                <w:lang w:eastAsia="zh-CN"/>
              </w:rPr>
            </w:pPr>
            <w:r>
              <w:rPr>
                <w:rFonts w:hint="eastAsia" w:ascii="宋体"/>
                <w:sz w:val="24"/>
                <w:lang w:val="en-US" w:eastAsia="zh-CN"/>
              </w:rPr>
              <w:t>合同</w:t>
            </w:r>
            <w:r>
              <w:rPr>
                <w:rFonts w:hint="eastAsia" w:ascii="宋体"/>
                <w:sz w:val="24"/>
                <w:lang w:eastAsia="zh-CN"/>
              </w:rPr>
              <w:t>包</w:t>
            </w:r>
            <w:r>
              <w:rPr>
                <w:rFonts w:hint="eastAsia" w:ascii="宋体"/>
                <w:sz w:val="24"/>
                <w:lang w:val="en-US" w:eastAsia="zh-CN"/>
              </w:rPr>
              <w:t>1</w:t>
            </w:r>
          </w:p>
          <w:p>
            <w:pPr>
              <w:keepNext w:val="0"/>
              <w:keepLines w:val="0"/>
              <w:widowControl/>
              <w:suppressLineNumbers w:val="0"/>
              <w:jc w:val="center"/>
              <w:textAlignment w:val="center"/>
              <w:rPr>
                <w:rFonts w:ascii="宋体"/>
                <w:sz w:val="24"/>
                <w:szCs w:val="24"/>
              </w:rPr>
            </w:pPr>
          </w:p>
        </w:tc>
        <w:tc>
          <w:tcPr>
            <w:tcW w:w="2162" w:type="dxa"/>
            <w:noWrap/>
            <w:vAlign w:val="center"/>
          </w:tcPr>
          <w:p>
            <w:pPr>
              <w:keepNext w:val="0"/>
              <w:keepLines w:val="0"/>
              <w:widowControl/>
              <w:suppressLineNumbers w:val="0"/>
              <w:jc w:val="center"/>
              <w:textAlignment w:val="center"/>
              <w:rPr>
                <w:rFonts w:ascii="宋体"/>
                <w:sz w:val="24"/>
                <w:szCs w:val="24"/>
              </w:rPr>
            </w:pPr>
          </w:p>
        </w:tc>
        <w:tc>
          <w:tcPr>
            <w:tcW w:w="5118" w:type="dxa"/>
            <w:noWrap/>
            <w:vAlign w:val="center"/>
          </w:tcPr>
          <w:p>
            <w:pPr>
              <w:spacing w:line="360" w:lineRule="auto"/>
              <w:jc w:val="left"/>
              <w:rPr>
                <w:rFonts w:ascii="宋体"/>
                <w:sz w:val="24"/>
              </w:rPr>
            </w:pPr>
            <w:r>
              <w:rPr>
                <w:rFonts w:hint="eastAsia" w:ascii="宋体" w:hAnsi="宋体"/>
                <w:sz w:val="24"/>
              </w:rPr>
              <w:t>大写：</w:t>
            </w:r>
          </w:p>
          <w:p>
            <w:pPr>
              <w:spacing w:line="360" w:lineRule="auto"/>
              <w:jc w:val="left"/>
              <w:rPr>
                <w:rFonts w:ascii="宋体"/>
                <w:sz w:val="24"/>
              </w:rPr>
            </w:pPr>
          </w:p>
          <w:p>
            <w:pPr>
              <w:spacing w:line="360" w:lineRule="auto"/>
              <w:jc w:val="left"/>
              <w:rPr>
                <w:rFonts w:hint="eastAsia" w:ascii="宋体" w:hAnsi="宋体"/>
                <w:sz w:val="24"/>
              </w:rPr>
            </w:pPr>
            <w:r>
              <w:rPr>
                <w:rFonts w:hint="eastAsia" w:ascii="宋体" w:hAnsi="宋体"/>
                <w:sz w:val="24"/>
              </w:rPr>
              <w:t>小写：</w:t>
            </w:r>
          </w:p>
        </w:tc>
      </w:tr>
    </w:tbl>
    <w:p>
      <w:pPr>
        <w:spacing w:line="360" w:lineRule="auto"/>
        <w:ind w:firstLine="480" w:firstLineChars="200"/>
        <w:rPr>
          <w:rFonts w:asci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Ansi="宋体"/>
        </w:rPr>
      </w:pPr>
      <w:r>
        <w:rPr>
          <w:rFonts w:hint="eastAsia" w:ascii="宋体" w:hAnsi="宋体"/>
          <w:sz w:val="24"/>
        </w:rPr>
        <w:t>供应商代表签字或盖章</w:t>
      </w:r>
      <w:r>
        <w:rPr>
          <w:rFonts w:hint="eastAsia" w:ascii="宋体" w:hAnsi="宋体"/>
          <w:sz w:val="24"/>
          <w:u w:val="single"/>
        </w:rPr>
        <w:t>：</w:t>
      </w:r>
      <w:r>
        <w:rPr>
          <w:rFonts w:ascii="宋体" w:hAnsi="宋体"/>
          <w:sz w:val="24"/>
          <w:u w:val="single"/>
        </w:rPr>
        <w:t xml:space="preserve">               </w:t>
      </w: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ind w:firstLine="560" w:firstLineChars="200"/>
        <w:jc w:val="left"/>
        <w:outlineLvl w:val="9"/>
        <w:rPr>
          <w:rFonts w:hAnsi="宋体"/>
        </w:rPr>
      </w:pPr>
    </w:p>
    <w:p>
      <w:pPr>
        <w:pStyle w:val="91"/>
        <w:spacing w:line="360" w:lineRule="auto"/>
        <w:jc w:val="left"/>
        <w:outlineLvl w:val="9"/>
        <w:rPr>
          <w:rFonts w:hAnsi="宋体"/>
        </w:rPr>
      </w:pPr>
    </w:p>
    <w:p>
      <w:pPr>
        <w:jc w:val="center"/>
        <w:outlineLvl w:val="0"/>
        <w:rPr>
          <w:b/>
          <w:bCs/>
          <w:sz w:val="32"/>
          <w:szCs w:val="32"/>
        </w:rPr>
      </w:pPr>
      <w:bookmarkStart w:id="287" w:name="_Toc14175"/>
      <w:bookmarkStart w:id="288" w:name="_Toc16135"/>
      <w:bookmarkStart w:id="289" w:name="_Toc2829"/>
      <w:r>
        <w:rPr>
          <w:rFonts w:hint="eastAsia"/>
          <w:b/>
          <w:bCs/>
          <w:sz w:val="32"/>
          <w:szCs w:val="32"/>
          <w:lang w:val="en-US" w:eastAsia="zh-CN"/>
        </w:rPr>
        <w:t>3、</w:t>
      </w:r>
      <w:r>
        <w:rPr>
          <w:rFonts w:hint="eastAsia"/>
          <w:b/>
          <w:bCs/>
          <w:sz w:val="32"/>
          <w:szCs w:val="32"/>
        </w:rPr>
        <w:t>报价分项表</w:t>
      </w:r>
      <w:bookmarkEnd w:id="287"/>
      <w:bookmarkEnd w:id="288"/>
      <w:bookmarkEnd w:id="289"/>
    </w:p>
    <w:p>
      <w:pPr>
        <w:spacing w:line="360" w:lineRule="auto"/>
        <w:ind w:firstLine="480" w:firstLineChars="200"/>
        <w:rPr>
          <w:rFonts w:hint="default" w:ascii="宋体" w:hAnsi="宋体" w:eastAsia="宋体"/>
          <w:sz w:val="24"/>
          <w:lang w:val="en-US" w:eastAsia="zh-CN"/>
        </w:rPr>
      </w:pPr>
      <w:r>
        <w:rPr>
          <w:rFonts w:hint="eastAsia" w:ascii="宋体" w:hAnsi="宋体"/>
          <w:sz w:val="24"/>
        </w:rPr>
        <w:t>供应商名称：</w:t>
      </w:r>
      <w:r>
        <w:rPr>
          <w:rFonts w:hint="eastAsia" w:ascii="宋体" w:hAnsi="宋体"/>
          <w:b/>
          <w:sz w:val="24"/>
        </w:rPr>
        <w:t>（全称并加盖公章）</w:t>
      </w:r>
      <w:r>
        <w:rPr>
          <w:rFonts w:ascii="宋体" w:hAnsi="宋体"/>
          <w:sz w:val="24"/>
        </w:rPr>
        <w:t xml:space="preserve">        </w:t>
      </w:r>
      <w:r>
        <w:rPr>
          <w:rFonts w:hint="eastAsia" w:ascii="宋体" w:hAnsi="宋体"/>
          <w:sz w:val="24"/>
          <w:lang w:val="en-US" w:eastAsia="zh-CN"/>
        </w:rPr>
        <w:t xml:space="preserve">            </w:t>
      </w:r>
    </w:p>
    <w:p>
      <w:pPr>
        <w:spacing w:line="360" w:lineRule="auto"/>
        <w:ind w:firstLine="480" w:firstLineChars="200"/>
        <w:rPr>
          <w:rFonts w:ascii="宋体"/>
          <w:sz w:val="24"/>
        </w:rPr>
      </w:pPr>
      <w:r>
        <w:rPr>
          <w:rFonts w:hint="eastAsia" w:ascii="宋体" w:hAnsi="宋体"/>
          <w:sz w:val="24"/>
        </w:rPr>
        <w:t>采购编号∶</w:t>
      </w:r>
      <w:r>
        <w:rPr>
          <w:rFonts w:ascii="宋体" w:hAnsi="宋体"/>
          <w:sz w:val="24"/>
        </w:rPr>
        <w:t xml:space="preserve">         </w:t>
      </w:r>
      <w:r>
        <w:rPr>
          <w:rFonts w:hint="eastAsia" w:ascii="宋体" w:hAnsi="宋体"/>
          <w:sz w:val="24"/>
        </w:rPr>
        <w:t>货币单位：元</w:t>
      </w:r>
    </w:p>
    <w:tbl>
      <w:tblPr>
        <w:tblStyle w:val="30"/>
        <w:tblW w:w="8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792"/>
        <w:gridCol w:w="1502"/>
        <w:gridCol w:w="1061"/>
        <w:gridCol w:w="824"/>
        <w:gridCol w:w="663"/>
        <w:gridCol w:w="951"/>
        <w:gridCol w:w="744"/>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05" w:type="dxa"/>
            <w:noWrap/>
            <w:vAlign w:val="center"/>
          </w:tcPr>
          <w:p>
            <w:pPr>
              <w:spacing w:line="360" w:lineRule="auto"/>
              <w:jc w:val="center"/>
              <w:rPr>
                <w:rFonts w:ascii="宋体"/>
                <w:b/>
                <w:sz w:val="24"/>
              </w:rPr>
            </w:pPr>
            <w:r>
              <w:rPr>
                <w:rFonts w:hint="eastAsia" w:ascii="宋体" w:hAnsi="宋体"/>
                <w:sz w:val="24"/>
                <w:lang w:val="en-US" w:eastAsia="zh-CN"/>
              </w:rPr>
              <w:t>合同</w:t>
            </w:r>
            <w:r>
              <w:rPr>
                <w:rFonts w:hint="eastAsia" w:ascii="宋体" w:hAnsi="宋体"/>
                <w:sz w:val="24"/>
              </w:rPr>
              <w:t>号</w:t>
            </w:r>
          </w:p>
        </w:tc>
        <w:tc>
          <w:tcPr>
            <w:tcW w:w="792" w:type="dxa"/>
            <w:noWrap/>
            <w:vAlign w:val="center"/>
          </w:tcPr>
          <w:p>
            <w:pPr>
              <w:spacing w:line="360" w:lineRule="auto"/>
              <w:jc w:val="center"/>
              <w:rPr>
                <w:rFonts w:ascii="宋体"/>
                <w:sz w:val="24"/>
              </w:rPr>
            </w:pPr>
            <w:r>
              <w:rPr>
                <w:rFonts w:hint="eastAsia" w:ascii="宋体" w:hAnsi="宋体"/>
                <w:sz w:val="24"/>
              </w:rPr>
              <w:t>品目号</w:t>
            </w:r>
          </w:p>
        </w:tc>
        <w:tc>
          <w:tcPr>
            <w:tcW w:w="1502" w:type="dxa"/>
            <w:noWrap/>
            <w:vAlign w:val="center"/>
          </w:tcPr>
          <w:p>
            <w:pPr>
              <w:spacing w:line="360" w:lineRule="auto"/>
              <w:jc w:val="center"/>
              <w:rPr>
                <w:rFonts w:ascii="宋体"/>
                <w:sz w:val="24"/>
              </w:rPr>
            </w:pPr>
            <w:r>
              <w:rPr>
                <w:rFonts w:hint="eastAsia" w:ascii="宋体" w:hAnsi="宋体"/>
                <w:sz w:val="24"/>
                <w:lang w:val="en-US" w:eastAsia="zh-CN"/>
              </w:rPr>
              <w:t>设备</w:t>
            </w:r>
            <w:r>
              <w:rPr>
                <w:rFonts w:hint="eastAsia" w:ascii="宋体" w:hAnsi="宋体"/>
                <w:sz w:val="24"/>
              </w:rPr>
              <w:t>名称</w:t>
            </w:r>
          </w:p>
        </w:tc>
        <w:tc>
          <w:tcPr>
            <w:tcW w:w="1061" w:type="dxa"/>
            <w:noWrap/>
            <w:vAlign w:val="center"/>
          </w:tcPr>
          <w:p>
            <w:pPr>
              <w:spacing w:line="360" w:lineRule="auto"/>
              <w:jc w:val="center"/>
              <w:rPr>
                <w:rFonts w:ascii="宋体"/>
                <w:sz w:val="24"/>
              </w:rPr>
            </w:pPr>
            <w:r>
              <w:rPr>
                <w:rFonts w:hint="eastAsia" w:ascii="宋体" w:hAnsi="宋体"/>
                <w:sz w:val="24"/>
              </w:rPr>
              <w:t>品牌及具体型号</w:t>
            </w:r>
          </w:p>
        </w:tc>
        <w:tc>
          <w:tcPr>
            <w:tcW w:w="824" w:type="dxa"/>
            <w:noWrap/>
            <w:vAlign w:val="center"/>
          </w:tcPr>
          <w:p>
            <w:pPr>
              <w:spacing w:line="360" w:lineRule="auto"/>
              <w:jc w:val="center"/>
              <w:rPr>
                <w:rFonts w:ascii="宋体"/>
                <w:sz w:val="24"/>
              </w:rPr>
            </w:pPr>
            <w:r>
              <w:rPr>
                <w:rFonts w:hint="eastAsia" w:ascii="宋体" w:hAnsi="宋体"/>
                <w:sz w:val="24"/>
              </w:rPr>
              <w:t>生产产地</w:t>
            </w:r>
          </w:p>
        </w:tc>
        <w:tc>
          <w:tcPr>
            <w:tcW w:w="663" w:type="dxa"/>
            <w:noWrap/>
            <w:vAlign w:val="center"/>
          </w:tcPr>
          <w:p>
            <w:pPr>
              <w:spacing w:line="360" w:lineRule="auto"/>
              <w:jc w:val="center"/>
              <w:rPr>
                <w:rFonts w:ascii="宋体"/>
                <w:sz w:val="24"/>
              </w:rPr>
            </w:pPr>
            <w:r>
              <w:rPr>
                <w:rFonts w:hint="eastAsia" w:ascii="宋体" w:hAnsi="宋体"/>
                <w:sz w:val="24"/>
              </w:rPr>
              <w:t>数量</w:t>
            </w:r>
          </w:p>
        </w:tc>
        <w:tc>
          <w:tcPr>
            <w:tcW w:w="951" w:type="dxa"/>
            <w:noWrap/>
            <w:vAlign w:val="center"/>
          </w:tcPr>
          <w:p>
            <w:pPr>
              <w:spacing w:line="360" w:lineRule="auto"/>
              <w:jc w:val="center"/>
              <w:rPr>
                <w:rFonts w:ascii="宋体"/>
                <w:sz w:val="24"/>
              </w:rPr>
            </w:pPr>
            <w:r>
              <w:rPr>
                <w:rFonts w:hint="eastAsia" w:ascii="宋体" w:hAnsi="宋体"/>
                <w:sz w:val="24"/>
              </w:rPr>
              <w:t>全费用综合单价</w:t>
            </w:r>
          </w:p>
        </w:tc>
        <w:tc>
          <w:tcPr>
            <w:tcW w:w="744" w:type="dxa"/>
            <w:noWrap/>
            <w:vAlign w:val="center"/>
          </w:tcPr>
          <w:p>
            <w:pPr>
              <w:spacing w:line="360" w:lineRule="auto"/>
              <w:jc w:val="center"/>
              <w:rPr>
                <w:rFonts w:ascii="宋体"/>
                <w:sz w:val="24"/>
              </w:rPr>
            </w:pPr>
            <w:r>
              <w:rPr>
                <w:rFonts w:hint="eastAsia" w:ascii="宋体" w:hAnsi="宋体"/>
                <w:sz w:val="24"/>
              </w:rPr>
              <w:t>小计</w:t>
            </w:r>
          </w:p>
        </w:tc>
        <w:tc>
          <w:tcPr>
            <w:tcW w:w="819" w:type="dxa"/>
            <w:noWrap/>
            <w:vAlign w:val="center"/>
          </w:tcPr>
          <w:p>
            <w:pPr>
              <w:spacing w:line="360" w:lineRule="auto"/>
              <w:jc w:val="center"/>
              <w:rPr>
                <w:rFonts w:ascii="宋体"/>
                <w:sz w:val="24"/>
              </w:rPr>
            </w:pPr>
            <w:r>
              <w:rPr>
                <w:rFonts w:hint="eastAsia" w:ascii="宋体" w:hAns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805" w:type="dxa"/>
            <w:vMerge w:val="restart"/>
            <w:noWrap/>
            <w:vAlign w:val="center"/>
          </w:tcPr>
          <w:p>
            <w:pPr>
              <w:widowControl/>
              <w:jc w:val="center"/>
              <w:rPr>
                <w:rFonts w:ascii="宋体" w:cs="宋体"/>
                <w:sz w:val="24"/>
              </w:rPr>
            </w:pPr>
          </w:p>
        </w:tc>
        <w:tc>
          <w:tcPr>
            <w:tcW w:w="792" w:type="dxa"/>
            <w:noWrap/>
            <w:vAlign w:val="center"/>
          </w:tcPr>
          <w:p>
            <w:pPr>
              <w:jc w:val="center"/>
              <w:rPr>
                <w:rFonts w:ascii="宋体"/>
                <w:sz w:val="24"/>
              </w:rPr>
            </w:pPr>
          </w:p>
        </w:tc>
        <w:tc>
          <w:tcPr>
            <w:tcW w:w="1502" w:type="dxa"/>
            <w:noWrap/>
            <w:vAlign w:val="center"/>
          </w:tcPr>
          <w:p>
            <w:pPr>
              <w:jc w:val="center"/>
              <w:rPr>
                <w:rFonts w:ascii="宋体" w:cs="宋体"/>
              </w:rPr>
            </w:pPr>
          </w:p>
        </w:tc>
        <w:tc>
          <w:tcPr>
            <w:tcW w:w="1061" w:type="dxa"/>
            <w:noWrap/>
            <w:vAlign w:val="center"/>
          </w:tcPr>
          <w:p>
            <w:pPr>
              <w:spacing w:line="360" w:lineRule="auto"/>
              <w:ind w:firstLine="480" w:firstLineChars="200"/>
              <w:jc w:val="center"/>
              <w:rPr>
                <w:rFonts w:ascii="宋体"/>
                <w:sz w:val="24"/>
                <w:highlight w:val="yellow"/>
              </w:rPr>
            </w:pPr>
          </w:p>
        </w:tc>
        <w:tc>
          <w:tcPr>
            <w:tcW w:w="824" w:type="dxa"/>
            <w:noWrap/>
            <w:vAlign w:val="center"/>
          </w:tcPr>
          <w:p>
            <w:pPr>
              <w:spacing w:line="360" w:lineRule="auto"/>
              <w:ind w:firstLine="480" w:firstLineChars="200"/>
              <w:jc w:val="center"/>
              <w:rPr>
                <w:rFonts w:ascii="宋体"/>
                <w:sz w:val="24"/>
                <w:highlight w:val="yellow"/>
              </w:rPr>
            </w:pPr>
          </w:p>
        </w:tc>
        <w:tc>
          <w:tcPr>
            <w:tcW w:w="663" w:type="dxa"/>
            <w:noWrap/>
            <w:vAlign w:val="center"/>
          </w:tcPr>
          <w:p>
            <w:pPr>
              <w:spacing w:line="360" w:lineRule="auto"/>
              <w:ind w:firstLine="480" w:firstLineChars="200"/>
              <w:jc w:val="center"/>
              <w:rPr>
                <w:rFonts w:ascii="宋体"/>
                <w:sz w:val="24"/>
                <w:highlight w:val="yellow"/>
              </w:rPr>
            </w:pPr>
          </w:p>
        </w:tc>
        <w:tc>
          <w:tcPr>
            <w:tcW w:w="951" w:type="dxa"/>
            <w:noWrap/>
            <w:vAlign w:val="center"/>
          </w:tcPr>
          <w:p>
            <w:pPr>
              <w:spacing w:line="360" w:lineRule="auto"/>
              <w:ind w:firstLine="480" w:firstLineChars="200"/>
              <w:jc w:val="center"/>
              <w:rPr>
                <w:rFonts w:ascii="宋体"/>
                <w:sz w:val="24"/>
                <w:highlight w:val="yellow"/>
              </w:rPr>
            </w:pPr>
          </w:p>
        </w:tc>
        <w:tc>
          <w:tcPr>
            <w:tcW w:w="744" w:type="dxa"/>
            <w:noWrap/>
            <w:vAlign w:val="center"/>
          </w:tcPr>
          <w:p>
            <w:pPr>
              <w:spacing w:line="360" w:lineRule="auto"/>
              <w:ind w:firstLine="480" w:firstLineChars="200"/>
              <w:jc w:val="center"/>
              <w:rPr>
                <w:rFonts w:ascii="宋体"/>
                <w:sz w:val="24"/>
                <w:highlight w:val="yellow"/>
              </w:rPr>
            </w:pPr>
          </w:p>
        </w:tc>
        <w:tc>
          <w:tcPr>
            <w:tcW w:w="819" w:type="dxa"/>
            <w:vMerge w:val="restart"/>
            <w:noWrap/>
            <w:vAlign w:val="center"/>
          </w:tcPr>
          <w:p>
            <w:pPr>
              <w:spacing w:line="360" w:lineRule="auto"/>
              <w:ind w:firstLine="480" w:firstLineChars="200"/>
              <w:jc w:val="center"/>
              <w:rPr>
                <w:rFonts w:ascii="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05" w:type="dxa"/>
            <w:vMerge w:val="continue"/>
            <w:noWrap/>
            <w:vAlign w:val="center"/>
          </w:tcPr>
          <w:p>
            <w:pPr>
              <w:jc w:val="center"/>
              <w:rPr>
                <w:rFonts w:ascii="宋体" w:cs="宋体"/>
                <w:sz w:val="24"/>
              </w:rPr>
            </w:pPr>
          </w:p>
        </w:tc>
        <w:tc>
          <w:tcPr>
            <w:tcW w:w="792" w:type="dxa"/>
            <w:noWrap/>
            <w:vAlign w:val="center"/>
          </w:tcPr>
          <w:p>
            <w:pPr>
              <w:jc w:val="center"/>
              <w:rPr>
                <w:rFonts w:ascii="宋体" w:cs="宋体"/>
                <w:sz w:val="24"/>
              </w:rPr>
            </w:pPr>
          </w:p>
        </w:tc>
        <w:tc>
          <w:tcPr>
            <w:tcW w:w="1502" w:type="dxa"/>
            <w:noWrap/>
            <w:vAlign w:val="center"/>
          </w:tcPr>
          <w:p>
            <w:pPr>
              <w:jc w:val="center"/>
              <w:rPr>
                <w:rFonts w:ascii="宋体" w:cs="宋体"/>
              </w:rPr>
            </w:pPr>
          </w:p>
        </w:tc>
        <w:tc>
          <w:tcPr>
            <w:tcW w:w="1061" w:type="dxa"/>
            <w:noWrap/>
            <w:vAlign w:val="center"/>
          </w:tcPr>
          <w:p>
            <w:pPr>
              <w:spacing w:line="360" w:lineRule="auto"/>
              <w:ind w:firstLine="480" w:firstLineChars="200"/>
              <w:jc w:val="center"/>
              <w:rPr>
                <w:rFonts w:ascii="宋体"/>
                <w:sz w:val="24"/>
                <w:highlight w:val="yellow"/>
              </w:rPr>
            </w:pPr>
          </w:p>
        </w:tc>
        <w:tc>
          <w:tcPr>
            <w:tcW w:w="824" w:type="dxa"/>
            <w:noWrap/>
            <w:vAlign w:val="center"/>
          </w:tcPr>
          <w:p>
            <w:pPr>
              <w:spacing w:line="360" w:lineRule="auto"/>
              <w:ind w:firstLine="480" w:firstLineChars="200"/>
              <w:jc w:val="center"/>
              <w:rPr>
                <w:rFonts w:ascii="宋体"/>
                <w:sz w:val="24"/>
                <w:highlight w:val="yellow"/>
              </w:rPr>
            </w:pPr>
          </w:p>
        </w:tc>
        <w:tc>
          <w:tcPr>
            <w:tcW w:w="663" w:type="dxa"/>
            <w:noWrap/>
            <w:vAlign w:val="center"/>
          </w:tcPr>
          <w:p>
            <w:pPr>
              <w:spacing w:line="360" w:lineRule="auto"/>
              <w:ind w:firstLine="480" w:firstLineChars="200"/>
              <w:jc w:val="center"/>
              <w:rPr>
                <w:rFonts w:ascii="宋体"/>
                <w:sz w:val="24"/>
                <w:highlight w:val="yellow"/>
              </w:rPr>
            </w:pPr>
          </w:p>
        </w:tc>
        <w:tc>
          <w:tcPr>
            <w:tcW w:w="951" w:type="dxa"/>
            <w:noWrap/>
            <w:vAlign w:val="center"/>
          </w:tcPr>
          <w:p>
            <w:pPr>
              <w:spacing w:line="360" w:lineRule="auto"/>
              <w:ind w:firstLine="480" w:firstLineChars="200"/>
              <w:jc w:val="center"/>
              <w:rPr>
                <w:rFonts w:ascii="宋体"/>
                <w:sz w:val="24"/>
                <w:highlight w:val="yellow"/>
              </w:rPr>
            </w:pPr>
          </w:p>
        </w:tc>
        <w:tc>
          <w:tcPr>
            <w:tcW w:w="744" w:type="dxa"/>
            <w:noWrap/>
            <w:vAlign w:val="center"/>
          </w:tcPr>
          <w:p>
            <w:pPr>
              <w:spacing w:line="360" w:lineRule="auto"/>
              <w:ind w:firstLine="480" w:firstLineChars="200"/>
              <w:jc w:val="center"/>
              <w:rPr>
                <w:rFonts w:ascii="宋体"/>
                <w:sz w:val="24"/>
                <w:highlight w:val="yellow"/>
              </w:rPr>
            </w:pPr>
          </w:p>
        </w:tc>
        <w:tc>
          <w:tcPr>
            <w:tcW w:w="819" w:type="dxa"/>
            <w:vMerge w:val="continue"/>
            <w:noWrap/>
            <w:vAlign w:val="center"/>
          </w:tcPr>
          <w:p>
            <w:pPr>
              <w:spacing w:line="360" w:lineRule="auto"/>
              <w:ind w:firstLine="480" w:firstLineChars="200"/>
              <w:jc w:val="center"/>
              <w:rPr>
                <w:rFonts w:ascii="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05" w:type="dxa"/>
            <w:vMerge w:val="continue"/>
            <w:noWrap/>
            <w:vAlign w:val="center"/>
          </w:tcPr>
          <w:p>
            <w:pPr>
              <w:jc w:val="center"/>
              <w:rPr>
                <w:rFonts w:ascii="宋体" w:cs="宋体"/>
                <w:sz w:val="24"/>
              </w:rPr>
            </w:pPr>
          </w:p>
        </w:tc>
        <w:tc>
          <w:tcPr>
            <w:tcW w:w="792" w:type="dxa"/>
            <w:noWrap/>
            <w:vAlign w:val="center"/>
          </w:tcPr>
          <w:p>
            <w:pPr>
              <w:jc w:val="center"/>
              <w:rPr>
                <w:rFonts w:ascii="宋体"/>
                <w:sz w:val="24"/>
              </w:rPr>
            </w:pPr>
          </w:p>
        </w:tc>
        <w:tc>
          <w:tcPr>
            <w:tcW w:w="1502" w:type="dxa"/>
            <w:noWrap/>
            <w:vAlign w:val="center"/>
          </w:tcPr>
          <w:p>
            <w:pPr>
              <w:jc w:val="center"/>
              <w:rPr>
                <w:rFonts w:ascii="宋体"/>
              </w:rPr>
            </w:pPr>
          </w:p>
        </w:tc>
        <w:tc>
          <w:tcPr>
            <w:tcW w:w="1061" w:type="dxa"/>
            <w:noWrap/>
            <w:vAlign w:val="center"/>
          </w:tcPr>
          <w:p>
            <w:pPr>
              <w:spacing w:line="360" w:lineRule="auto"/>
              <w:ind w:firstLine="480" w:firstLineChars="200"/>
              <w:jc w:val="center"/>
              <w:rPr>
                <w:rFonts w:ascii="宋体"/>
                <w:sz w:val="24"/>
                <w:highlight w:val="yellow"/>
              </w:rPr>
            </w:pPr>
          </w:p>
        </w:tc>
        <w:tc>
          <w:tcPr>
            <w:tcW w:w="824" w:type="dxa"/>
            <w:noWrap/>
            <w:vAlign w:val="center"/>
          </w:tcPr>
          <w:p>
            <w:pPr>
              <w:spacing w:line="360" w:lineRule="auto"/>
              <w:ind w:firstLine="480" w:firstLineChars="200"/>
              <w:jc w:val="center"/>
              <w:rPr>
                <w:rFonts w:ascii="宋体"/>
                <w:sz w:val="24"/>
                <w:highlight w:val="yellow"/>
              </w:rPr>
            </w:pPr>
          </w:p>
        </w:tc>
        <w:tc>
          <w:tcPr>
            <w:tcW w:w="663" w:type="dxa"/>
            <w:noWrap/>
            <w:vAlign w:val="center"/>
          </w:tcPr>
          <w:p>
            <w:pPr>
              <w:spacing w:line="360" w:lineRule="auto"/>
              <w:ind w:firstLine="480" w:firstLineChars="200"/>
              <w:jc w:val="center"/>
              <w:rPr>
                <w:rFonts w:ascii="宋体"/>
                <w:sz w:val="24"/>
                <w:highlight w:val="yellow"/>
              </w:rPr>
            </w:pPr>
          </w:p>
        </w:tc>
        <w:tc>
          <w:tcPr>
            <w:tcW w:w="951" w:type="dxa"/>
            <w:noWrap/>
            <w:vAlign w:val="center"/>
          </w:tcPr>
          <w:p>
            <w:pPr>
              <w:spacing w:line="360" w:lineRule="auto"/>
              <w:ind w:firstLine="480" w:firstLineChars="200"/>
              <w:jc w:val="center"/>
              <w:rPr>
                <w:rFonts w:ascii="宋体"/>
                <w:sz w:val="24"/>
                <w:highlight w:val="yellow"/>
              </w:rPr>
            </w:pPr>
          </w:p>
        </w:tc>
        <w:tc>
          <w:tcPr>
            <w:tcW w:w="744" w:type="dxa"/>
            <w:noWrap/>
            <w:vAlign w:val="center"/>
          </w:tcPr>
          <w:p>
            <w:pPr>
              <w:spacing w:line="360" w:lineRule="auto"/>
              <w:ind w:firstLine="480" w:firstLineChars="200"/>
              <w:jc w:val="center"/>
              <w:rPr>
                <w:rFonts w:ascii="宋体"/>
                <w:sz w:val="24"/>
                <w:highlight w:val="yellow"/>
              </w:rPr>
            </w:pPr>
          </w:p>
        </w:tc>
        <w:tc>
          <w:tcPr>
            <w:tcW w:w="819" w:type="dxa"/>
            <w:vMerge w:val="continue"/>
            <w:noWrap/>
            <w:vAlign w:val="center"/>
          </w:tcPr>
          <w:p>
            <w:pPr>
              <w:spacing w:line="360" w:lineRule="auto"/>
              <w:ind w:firstLine="480" w:firstLineChars="200"/>
              <w:jc w:val="center"/>
              <w:rPr>
                <w:rFonts w:ascii="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05" w:type="dxa"/>
            <w:vMerge w:val="continue"/>
            <w:noWrap/>
            <w:vAlign w:val="center"/>
          </w:tcPr>
          <w:p>
            <w:pPr>
              <w:jc w:val="center"/>
              <w:rPr>
                <w:rFonts w:ascii="宋体" w:cs="宋体"/>
                <w:sz w:val="24"/>
              </w:rPr>
            </w:pPr>
          </w:p>
        </w:tc>
        <w:tc>
          <w:tcPr>
            <w:tcW w:w="792" w:type="dxa"/>
            <w:noWrap/>
            <w:vAlign w:val="center"/>
          </w:tcPr>
          <w:p>
            <w:pPr>
              <w:jc w:val="center"/>
              <w:rPr>
                <w:rFonts w:ascii="宋体"/>
                <w:sz w:val="24"/>
              </w:rPr>
            </w:pPr>
          </w:p>
        </w:tc>
        <w:tc>
          <w:tcPr>
            <w:tcW w:w="1502" w:type="dxa"/>
            <w:noWrap/>
            <w:vAlign w:val="center"/>
          </w:tcPr>
          <w:p>
            <w:pPr>
              <w:jc w:val="center"/>
              <w:rPr>
                <w:rFonts w:ascii="宋体"/>
              </w:rPr>
            </w:pPr>
          </w:p>
        </w:tc>
        <w:tc>
          <w:tcPr>
            <w:tcW w:w="1061" w:type="dxa"/>
            <w:noWrap/>
            <w:vAlign w:val="center"/>
          </w:tcPr>
          <w:p>
            <w:pPr>
              <w:spacing w:line="360" w:lineRule="auto"/>
              <w:ind w:firstLine="480" w:firstLineChars="200"/>
              <w:jc w:val="center"/>
              <w:rPr>
                <w:rFonts w:ascii="宋体"/>
                <w:sz w:val="24"/>
                <w:highlight w:val="yellow"/>
              </w:rPr>
            </w:pPr>
          </w:p>
        </w:tc>
        <w:tc>
          <w:tcPr>
            <w:tcW w:w="824" w:type="dxa"/>
            <w:noWrap/>
            <w:vAlign w:val="center"/>
          </w:tcPr>
          <w:p>
            <w:pPr>
              <w:spacing w:line="360" w:lineRule="auto"/>
              <w:ind w:firstLine="480" w:firstLineChars="200"/>
              <w:jc w:val="center"/>
              <w:rPr>
                <w:rFonts w:ascii="宋体"/>
                <w:sz w:val="24"/>
                <w:highlight w:val="yellow"/>
              </w:rPr>
            </w:pPr>
          </w:p>
        </w:tc>
        <w:tc>
          <w:tcPr>
            <w:tcW w:w="663" w:type="dxa"/>
            <w:noWrap/>
            <w:vAlign w:val="center"/>
          </w:tcPr>
          <w:p>
            <w:pPr>
              <w:spacing w:line="360" w:lineRule="auto"/>
              <w:ind w:firstLine="480" w:firstLineChars="200"/>
              <w:jc w:val="center"/>
              <w:rPr>
                <w:rFonts w:ascii="宋体"/>
                <w:sz w:val="24"/>
                <w:highlight w:val="yellow"/>
              </w:rPr>
            </w:pPr>
          </w:p>
        </w:tc>
        <w:tc>
          <w:tcPr>
            <w:tcW w:w="951" w:type="dxa"/>
            <w:noWrap/>
            <w:vAlign w:val="center"/>
          </w:tcPr>
          <w:p>
            <w:pPr>
              <w:spacing w:line="360" w:lineRule="auto"/>
              <w:ind w:firstLine="480" w:firstLineChars="200"/>
              <w:jc w:val="center"/>
              <w:rPr>
                <w:rFonts w:ascii="宋体"/>
                <w:sz w:val="24"/>
                <w:highlight w:val="yellow"/>
              </w:rPr>
            </w:pPr>
          </w:p>
        </w:tc>
        <w:tc>
          <w:tcPr>
            <w:tcW w:w="744" w:type="dxa"/>
            <w:noWrap/>
            <w:vAlign w:val="center"/>
          </w:tcPr>
          <w:p>
            <w:pPr>
              <w:spacing w:line="360" w:lineRule="auto"/>
              <w:ind w:firstLine="480" w:firstLineChars="200"/>
              <w:jc w:val="center"/>
              <w:rPr>
                <w:rFonts w:ascii="宋体"/>
                <w:sz w:val="24"/>
                <w:highlight w:val="yellow"/>
              </w:rPr>
            </w:pPr>
          </w:p>
        </w:tc>
        <w:tc>
          <w:tcPr>
            <w:tcW w:w="819" w:type="dxa"/>
            <w:vMerge w:val="continue"/>
            <w:noWrap/>
            <w:vAlign w:val="center"/>
          </w:tcPr>
          <w:p>
            <w:pPr>
              <w:spacing w:line="360" w:lineRule="auto"/>
              <w:ind w:firstLine="480" w:firstLineChars="200"/>
              <w:jc w:val="center"/>
              <w:rPr>
                <w:rFonts w:ascii="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05" w:type="dxa"/>
            <w:vMerge w:val="continue"/>
            <w:noWrap/>
            <w:vAlign w:val="center"/>
          </w:tcPr>
          <w:p>
            <w:pPr>
              <w:jc w:val="center"/>
              <w:rPr>
                <w:rFonts w:ascii="宋体" w:cs="宋体"/>
                <w:sz w:val="24"/>
              </w:rPr>
            </w:pPr>
          </w:p>
        </w:tc>
        <w:tc>
          <w:tcPr>
            <w:tcW w:w="792" w:type="dxa"/>
            <w:noWrap/>
            <w:vAlign w:val="center"/>
          </w:tcPr>
          <w:p>
            <w:pPr>
              <w:jc w:val="center"/>
              <w:rPr>
                <w:rFonts w:ascii="宋体"/>
                <w:sz w:val="24"/>
              </w:rPr>
            </w:pPr>
          </w:p>
        </w:tc>
        <w:tc>
          <w:tcPr>
            <w:tcW w:w="1502" w:type="dxa"/>
            <w:noWrap/>
            <w:vAlign w:val="center"/>
          </w:tcPr>
          <w:p>
            <w:pPr>
              <w:jc w:val="center"/>
              <w:rPr>
                <w:rFonts w:ascii="宋体"/>
              </w:rPr>
            </w:pPr>
          </w:p>
        </w:tc>
        <w:tc>
          <w:tcPr>
            <w:tcW w:w="1061" w:type="dxa"/>
            <w:noWrap/>
            <w:vAlign w:val="center"/>
          </w:tcPr>
          <w:p>
            <w:pPr>
              <w:spacing w:line="360" w:lineRule="auto"/>
              <w:ind w:firstLine="480" w:firstLineChars="200"/>
              <w:jc w:val="center"/>
              <w:rPr>
                <w:rFonts w:ascii="宋体"/>
                <w:sz w:val="24"/>
                <w:highlight w:val="yellow"/>
              </w:rPr>
            </w:pPr>
          </w:p>
        </w:tc>
        <w:tc>
          <w:tcPr>
            <w:tcW w:w="824" w:type="dxa"/>
            <w:noWrap/>
            <w:vAlign w:val="center"/>
          </w:tcPr>
          <w:p>
            <w:pPr>
              <w:spacing w:line="360" w:lineRule="auto"/>
              <w:ind w:firstLine="480" w:firstLineChars="200"/>
              <w:jc w:val="center"/>
              <w:rPr>
                <w:rFonts w:ascii="宋体"/>
                <w:sz w:val="24"/>
                <w:highlight w:val="yellow"/>
              </w:rPr>
            </w:pPr>
          </w:p>
        </w:tc>
        <w:tc>
          <w:tcPr>
            <w:tcW w:w="663" w:type="dxa"/>
            <w:noWrap/>
            <w:vAlign w:val="center"/>
          </w:tcPr>
          <w:p>
            <w:pPr>
              <w:spacing w:line="360" w:lineRule="auto"/>
              <w:ind w:firstLine="480" w:firstLineChars="200"/>
              <w:jc w:val="center"/>
              <w:rPr>
                <w:rFonts w:ascii="宋体"/>
                <w:sz w:val="24"/>
                <w:highlight w:val="yellow"/>
              </w:rPr>
            </w:pPr>
          </w:p>
        </w:tc>
        <w:tc>
          <w:tcPr>
            <w:tcW w:w="951" w:type="dxa"/>
            <w:noWrap/>
            <w:vAlign w:val="center"/>
          </w:tcPr>
          <w:p>
            <w:pPr>
              <w:spacing w:line="360" w:lineRule="auto"/>
              <w:ind w:firstLine="480" w:firstLineChars="200"/>
              <w:jc w:val="center"/>
              <w:rPr>
                <w:rFonts w:ascii="宋体"/>
                <w:sz w:val="24"/>
                <w:highlight w:val="yellow"/>
              </w:rPr>
            </w:pPr>
          </w:p>
        </w:tc>
        <w:tc>
          <w:tcPr>
            <w:tcW w:w="744" w:type="dxa"/>
            <w:noWrap/>
            <w:vAlign w:val="center"/>
          </w:tcPr>
          <w:p>
            <w:pPr>
              <w:spacing w:line="360" w:lineRule="auto"/>
              <w:ind w:firstLine="480" w:firstLineChars="200"/>
              <w:jc w:val="center"/>
              <w:rPr>
                <w:rFonts w:ascii="宋体"/>
                <w:sz w:val="24"/>
                <w:highlight w:val="yellow"/>
              </w:rPr>
            </w:pPr>
          </w:p>
        </w:tc>
        <w:tc>
          <w:tcPr>
            <w:tcW w:w="819" w:type="dxa"/>
            <w:vMerge w:val="continue"/>
            <w:noWrap/>
            <w:vAlign w:val="center"/>
          </w:tcPr>
          <w:p>
            <w:pPr>
              <w:spacing w:line="360" w:lineRule="auto"/>
              <w:ind w:firstLine="480" w:firstLineChars="200"/>
              <w:jc w:val="center"/>
              <w:rPr>
                <w:rFonts w:ascii="宋体"/>
                <w:sz w:val="24"/>
                <w:highlight w:val="yellow"/>
              </w:rPr>
            </w:pPr>
          </w:p>
        </w:tc>
      </w:tr>
    </w:tbl>
    <w:p>
      <w:pPr>
        <w:spacing w:line="360" w:lineRule="auto"/>
        <w:ind w:firstLine="480" w:firstLineChars="200"/>
        <w:rPr>
          <w:rFonts w:hint="eastAsia" w:asciiTheme="majorEastAsia" w:hAnsiTheme="majorEastAsia" w:eastAsiaTheme="majorEastAsia" w:cstheme="majorEastAsia"/>
          <w:sz w:val="24"/>
        </w:rPr>
      </w:pPr>
    </w:p>
    <w:p>
      <w:pPr>
        <w:spacing w:line="360" w:lineRule="auto"/>
        <w:ind w:firstLine="482" w:firstLineChars="20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sz w:val="24"/>
        </w:rPr>
        <w:t>注：供应商须完整填报所投报的各品目产品的品牌、具体型号、生产产地，否则重大偏离，视为未实质性响应询价通知书要求，投标无效。所投产品无具体型号的，在“备注”栏中说明“无具体型号”。</w:t>
      </w:r>
    </w:p>
    <w:p>
      <w:pPr>
        <w:spacing w:line="360" w:lineRule="auto"/>
        <w:ind w:firstLine="482" w:firstLineChars="200"/>
        <w:rPr>
          <w:rFonts w:ascii="黑体" w:hAnsi="宋体" w:eastAsia="黑体"/>
          <w:b/>
          <w:sz w:val="24"/>
        </w:rPr>
      </w:pPr>
    </w:p>
    <w:p>
      <w:pPr>
        <w:spacing w:line="360" w:lineRule="auto"/>
        <w:ind w:firstLine="480" w:firstLineChars="200"/>
        <w:rPr>
          <w:rFonts w:ascii="宋体"/>
          <w:sz w:val="24"/>
        </w:rPr>
      </w:pPr>
      <w:r>
        <w:rPr>
          <w:rFonts w:ascii="宋体" w:hAnsi="宋体"/>
          <w:sz w:val="24"/>
        </w:rPr>
        <w:t xml:space="preserve"> </w:t>
      </w:r>
      <w:r>
        <w:rPr>
          <w:rFonts w:hint="eastAsia" w:ascii="宋体" w:hAnsi="宋体"/>
          <w:sz w:val="24"/>
        </w:rPr>
        <w:t>供应商代表签字或盖章</w:t>
      </w:r>
      <w:r>
        <w:rPr>
          <w:rFonts w:hint="eastAsia" w:ascii="宋体" w:hAnsi="宋体"/>
          <w:sz w:val="24"/>
          <w:u w:val="single"/>
        </w:rPr>
        <w:t>：</w:t>
      </w:r>
      <w:r>
        <w:rPr>
          <w:rFonts w:ascii="宋体" w:hAnsi="宋体"/>
          <w:sz w:val="24"/>
          <w:u w:val="single"/>
        </w:rPr>
        <w:t xml:space="preserve">               </w:t>
      </w:r>
    </w:p>
    <w:p>
      <w:pPr>
        <w:spacing w:line="360" w:lineRule="auto"/>
        <w:ind w:firstLine="482" w:firstLineChars="200"/>
        <w:rPr>
          <w:rFonts w:ascii="宋体"/>
          <w:b/>
          <w:sz w:val="24"/>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both"/>
        <w:outlineLvl w:val="9"/>
        <w:rPr>
          <w:rFonts w:hAnsi="宋体"/>
          <w:b/>
          <w:sz w:val="36"/>
        </w:rPr>
      </w:pPr>
    </w:p>
    <w:p>
      <w:pPr>
        <w:jc w:val="center"/>
        <w:outlineLvl w:val="0"/>
        <w:rPr>
          <w:rFonts w:ascii="宋体"/>
          <w:b/>
          <w:sz w:val="24"/>
        </w:rPr>
      </w:pPr>
      <w:bookmarkStart w:id="290" w:name="_Toc10215"/>
      <w:bookmarkStart w:id="291" w:name="_Toc1836"/>
      <w:bookmarkStart w:id="292" w:name="_Toc13507"/>
      <w:r>
        <w:rPr>
          <w:rFonts w:hint="eastAsia"/>
          <w:b/>
          <w:bCs/>
          <w:sz w:val="32"/>
          <w:szCs w:val="32"/>
          <w:lang w:val="en-US" w:eastAsia="zh-CN"/>
        </w:rPr>
        <w:t>4、</w:t>
      </w:r>
      <w:r>
        <w:rPr>
          <w:rFonts w:hint="eastAsia"/>
          <w:b/>
          <w:bCs/>
          <w:sz w:val="32"/>
          <w:szCs w:val="32"/>
        </w:rPr>
        <w:t>资格证明文件</w:t>
      </w:r>
      <w:bookmarkEnd w:id="290"/>
      <w:bookmarkEnd w:id="291"/>
      <w:bookmarkEnd w:id="292"/>
    </w:p>
    <w:p>
      <w:pPr>
        <w:spacing w:line="360" w:lineRule="auto"/>
        <w:jc w:val="center"/>
        <w:outlineLvl w:val="1"/>
        <w:rPr>
          <w:b/>
          <w:bCs/>
          <w:sz w:val="24"/>
        </w:rPr>
      </w:pPr>
      <w:bookmarkStart w:id="293" w:name="_Toc26579"/>
      <w:bookmarkStart w:id="294" w:name="_Toc9431"/>
      <w:bookmarkStart w:id="295" w:name="_Toc27693"/>
      <w:r>
        <w:rPr>
          <w:rFonts w:hint="eastAsia"/>
          <w:b/>
          <w:bCs/>
          <w:sz w:val="24"/>
          <w:lang w:val="en-US" w:eastAsia="zh-CN"/>
        </w:rPr>
        <w:t>4-1</w:t>
      </w:r>
      <w:r>
        <w:rPr>
          <w:rFonts w:hint="eastAsia"/>
          <w:b/>
          <w:bCs/>
          <w:sz w:val="24"/>
        </w:rPr>
        <w:t>已缴纳询价保证金的证明材料复印件</w:t>
      </w:r>
      <w:bookmarkEnd w:id="293"/>
      <w:bookmarkEnd w:id="294"/>
      <w:bookmarkEnd w:id="295"/>
    </w:p>
    <w:p>
      <w:pPr>
        <w:spacing w:line="400" w:lineRule="exact"/>
        <w:ind w:firstLine="420" w:firstLineChars="200"/>
        <w:rPr>
          <w:rFonts w:ascii="宋体"/>
        </w:rPr>
      </w:pPr>
      <w:r>
        <w:rPr>
          <w:rFonts w:ascii="宋体" w:hAnsi="宋体"/>
        </w:rPr>
        <w:t>1</w:t>
      </w:r>
      <w:r>
        <w:rPr>
          <w:rFonts w:hint="eastAsia" w:ascii="宋体" w:hAnsi="宋体"/>
        </w:rPr>
        <w:t>、询价保证金应采用人民币，并以银行转账方式提交。</w:t>
      </w:r>
    </w:p>
    <w:p>
      <w:pPr>
        <w:spacing w:line="400" w:lineRule="exact"/>
        <w:ind w:firstLine="420" w:firstLineChars="200"/>
        <w:rPr>
          <w:rFonts w:ascii="宋体"/>
        </w:rPr>
      </w:pPr>
      <w:r>
        <w:rPr>
          <w:rFonts w:ascii="宋体" w:hAnsi="宋体"/>
        </w:rPr>
        <w:t>2</w:t>
      </w:r>
      <w:r>
        <w:rPr>
          <w:rFonts w:hint="eastAsia" w:ascii="宋体" w:hAnsi="宋体"/>
        </w:rPr>
        <w:t>、若采取银行转账方式缴纳，请供应商将银行进账单复印件（加盖公章）粘贴在本页空白处。</w:t>
      </w:r>
    </w:p>
    <w:p>
      <w:pPr>
        <w:spacing w:line="400" w:lineRule="exact"/>
        <w:ind w:firstLine="420" w:firstLineChars="200"/>
        <w:rPr>
          <w:rFonts w:ascii="宋体"/>
        </w:rPr>
      </w:pPr>
      <w:r>
        <w:rPr>
          <w:rFonts w:ascii="宋体" w:hAnsi="宋体"/>
        </w:rPr>
        <w:t>3</w:t>
      </w:r>
      <w:r>
        <w:rPr>
          <w:rFonts w:hint="eastAsia" w:ascii="宋体" w:hAnsi="宋体"/>
        </w:rPr>
        <w:t>、供应商应保证询价保证金在开标前到达</w:t>
      </w:r>
      <w:r>
        <w:rPr>
          <w:rFonts w:hint="eastAsia" w:ascii="宋体" w:hAnsi="宋体"/>
          <w:lang w:val="en-US" w:eastAsia="zh-CN"/>
        </w:rPr>
        <w:t>采购人指定</w:t>
      </w:r>
      <w:r>
        <w:rPr>
          <w:rFonts w:hint="eastAsia" w:ascii="宋体" w:hAnsi="宋体"/>
        </w:rPr>
        <w:t>银行账户，否则该投报将被视为无效。</w:t>
      </w:r>
    </w:p>
    <w:p>
      <w:pPr>
        <w:spacing w:line="400" w:lineRule="exact"/>
        <w:ind w:firstLine="420" w:firstLineChars="200"/>
        <w:rPr>
          <w:rFonts w:ascii="宋体"/>
        </w:rPr>
      </w:pPr>
      <w:r>
        <w:rPr>
          <w:rFonts w:ascii="宋体" w:hAnsi="宋体"/>
        </w:rPr>
        <w:t>4</w:t>
      </w:r>
      <w:r>
        <w:rPr>
          <w:rFonts w:hint="eastAsia" w:ascii="宋体" w:hAnsi="宋体"/>
        </w:rPr>
        <w:t>、询价保证金证明材料格式：</w:t>
      </w:r>
    </w:p>
    <w:p>
      <w:pPr>
        <w:spacing w:line="400" w:lineRule="exact"/>
        <w:ind w:firstLine="435"/>
        <w:rPr>
          <w:rFonts w:hint="eastAsia" w:ascii="宋体" w:eastAsia="宋体"/>
          <w:color w:val="auto"/>
          <w:lang w:eastAsia="zh-CN"/>
        </w:rPr>
      </w:pPr>
      <w:r>
        <w:rPr>
          <w:rFonts w:hint="eastAsia" w:ascii="宋体" w:hAnsi="宋体"/>
          <w:color w:val="auto"/>
        </w:rPr>
        <w:t>致：</w:t>
      </w:r>
      <w:r>
        <w:rPr>
          <w:rFonts w:hint="eastAsia" w:ascii="宋体" w:hAnsi="宋体"/>
          <w:color w:val="auto"/>
          <w:lang w:eastAsia="zh-CN"/>
        </w:rPr>
        <w:t xml:space="preserve">龙岩智发科技有限责任公司 </w:t>
      </w:r>
    </w:p>
    <w:p>
      <w:pPr>
        <w:spacing w:line="400" w:lineRule="exact"/>
        <w:ind w:firstLine="420" w:firstLineChars="200"/>
        <w:rPr>
          <w:rFonts w:ascii="宋体"/>
          <w:color w:val="auto"/>
        </w:rPr>
      </w:pPr>
      <w:r>
        <w:rPr>
          <w:rFonts w:hint="eastAsia" w:ascii="宋体" w:hAnsi="宋体"/>
          <w:color w:val="auto"/>
          <w:u w:val="single"/>
        </w:rPr>
        <w:t>（供应商全称）</w:t>
      </w:r>
      <w:r>
        <w:rPr>
          <w:rFonts w:hint="eastAsia" w:ascii="宋体" w:hAnsi="宋体"/>
          <w:color w:val="auto"/>
        </w:rPr>
        <w:t>参加贵招标代理机构组织的采购编号为</w:t>
      </w:r>
      <w:r>
        <w:rPr>
          <w:rFonts w:hint="eastAsia" w:ascii="宋体" w:hAnsi="宋体"/>
          <w:color w:val="auto"/>
          <w:u w:val="single"/>
          <w:lang w:val="en-US" w:eastAsia="zh-CN"/>
        </w:rPr>
        <w:t xml:space="preserve">          </w:t>
      </w:r>
      <w:r>
        <w:rPr>
          <w:rFonts w:hint="eastAsia" w:ascii="宋体" w:hAnsi="宋体"/>
          <w:color w:val="auto"/>
        </w:rPr>
        <w:t>的询价项目投标活动。按询价通知书规定，已递交人民币</w:t>
      </w:r>
      <w:r>
        <w:rPr>
          <w:rFonts w:hint="eastAsia" w:ascii="宋体" w:hAnsi="宋体"/>
          <w:color w:val="auto"/>
          <w:u w:val="single"/>
          <w:lang w:val="en-US" w:eastAsia="zh-CN"/>
        </w:rPr>
        <w:t xml:space="preserve">         </w:t>
      </w:r>
      <w:r>
        <w:rPr>
          <w:rFonts w:hint="eastAsia" w:ascii="宋体" w:hAnsi="宋体"/>
          <w:color w:val="auto"/>
        </w:rPr>
        <w:t>元的保证金。</w:t>
      </w:r>
    </w:p>
    <w:p>
      <w:pPr>
        <w:spacing w:line="400" w:lineRule="exact"/>
        <w:ind w:firstLine="435"/>
        <w:rPr>
          <w:rFonts w:ascii="宋体"/>
        </w:rPr>
      </w:pPr>
      <w:r>
        <w:rPr>
          <w:rFonts w:hint="eastAsia" w:ascii="宋体" w:hAnsi="宋体"/>
        </w:rPr>
        <w:t>若未成交，请按询价通知书要求，退还至以下银行（应与汇出行一致）：</w:t>
      </w:r>
    </w:p>
    <w:p>
      <w:pPr>
        <w:spacing w:line="400" w:lineRule="exact"/>
        <w:ind w:firstLine="435"/>
        <w:rPr>
          <w:rFonts w:ascii="宋体"/>
        </w:rPr>
      </w:pPr>
      <w:r>
        <w:rPr>
          <w:rFonts w:hint="eastAsia" w:ascii="宋体" w:hAnsi="宋体"/>
        </w:rPr>
        <w:t>收款单位：</w:t>
      </w:r>
      <w:r>
        <w:rPr>
          <w:rFonts w:hint="eastAsia" w:ascii="宋体" w:hAnsi="宋体"/>
          <w:u w:val="single"/>
          <w:lang w:val="en-US" w:eastAsia="zh-CN"/>
        </w:rPr>
        <w:t xml:space="preserve">         </w:t>
      </w:r>
    </w:p>
    <w:p>
      <w:pPr>
        <w:spacing w:line="400" w:lineRule="exact"/>
        <w:ind w:firstLine="435"/>
        <w:rPr>
          <w:rFonts w:ascii="宋体"/>
        </w:rPr>
      </w:pPr>
      <w:r>
        <w:rPr>
          <w:rFonts w:hint="eastAsia" w:ascii="宋体" w:hAnsi="宋体"/>
        </w:rPr>
        <w:t>开户行：</w:t>
      </w:r>
      <w:r>
        <w:rPr>
          <w:rFonts w:hint="eastAsia" w:ascii="宋体" w:hAnsi="宋体"/>
          <w:u w:val="single"/>
          <w:lang w:val="en-US" w:eastAsia="zh-CN"/>
        </w:rPr>
        <w:t xml:space="preserve">         </w:t>
      </w:r>
    </w:p>
    <w:p>
      <w:pPr>
        <w:spacing w:line="400" w:lineRule="exact"/>
        <w:ind w:firstLine="435"/>
        <w:rPr>
          <w:rFonts w:ascii="宋体"/>
        </w:rPr>
      </w:pPr>
      <w:r>
        <w:rPr>
          <w:rFonts w:hint="eastAsia" w:ascii="宋体" w:hAnsi="宋体"/>
        </w:rPr>
        <w:t>账号：</w:t>
      </w:r>
      <w:r>
        <w:rPr>
          <w:rFonts w:hint="eastAsia" w:ascii="宋体" w:hAnsi="宋体"/>
          <w:u w:val="single"/>
          <w:lang w:val="en-US" w:eastAsia="zh-CN"/>
        </w:rPr>
        <w:t xml:space="preserve">         </w:t>
      </w:r>
    </w:p>
    <w:tbl>
      <w:tblPr>
        <w:tblStyle w:val="30"/>
        <w:tblpPr w:leftFromText="180" w:rightFromText="180" w:vertAnchor="text" w:horzAnchor="page" w:tblpX="1998" w:tblpY="1653"/>
        <w:tblOverlap w:val="never"/>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1" w:hRule="atLeast"/>
        </w:trPr>
        <w:tc>
          <w:tcPr>
            <w:tcW w:w="9423" w:type="dxa"/>
            <w:noWrap/>
          </w:tcPr>
          <w:p>
            <w:pPr>
              <w:rPr>
                <w:rFonts w:ascii="宋体"/>
              </w:rPr>
            </w:pPr>
            <w:r>
              <w:rPr>
                <w:rFonts w:ascii="宋体" w:hAnsi="宋体"/>
              </w:rPr>
              <w:t xml:space="preserve">                    </w:t>
            </w:r>
            <w:r>
              <w:rPr>
                <w:rFonts w:hint="eastAsia" w:ascii="宋体" w:hAnsi="宋体"/>
              </w:rPr>
              <w:t>（银行进账单复印件粘贴处）</w:t>
            </w:r>
            <w:r>
              <w:rPr>
                <w:rFonts w:ascii="宋体" w:hAnsi="宋体"/>
              </w:rPr>
              <w:t xml:space="preserve">  </w:t>
            </w:r>
          </w:p>
        </w:tc>
      </w:tr>
    </w:tbl>
    <w:p>
      <w:pPr>
        <w:spacing w:line="400" w:lineRule="exact"/>
        <w:ind w:firstLine="435"/>
        <w:rPr>
          <w:rFonts w:ascii="宋体"/>
        </w:rPr>
      </w:pPr>
      <w:r>
        <w:rPr>
          <w:rFonts w:hint="eastAsia" w:ascii="宋体" w:hAnsi="宋体"/>
        </w:rPr>
        <w:t>附：询价保证金缴纳证明</w:t>
      </w:r>
    </w:p>
    <w:p>
      <w:pPr>
        <w:spacing w:line="360" w:lineRule="auto"/>
        <w:jc w:val="both"/>
        <w:rPr>
          <w:rFonts w:ascii="宋体"/>
          <w:b/>
          <w:sz w:val="36"/>
        </w:rPr>
      </w:pPr>
    </w:p>
    <w:p>
      <w:pPr>
        <w:spacing w:line="360" w:lineRule="auto"/>
        <w:rPr>
          <w:rFonts w:ascii="宋体"/>
          <w:sz w:val="24"/>
        </w:rPr>
      </w:pPr>
    </w:p>
    <w:p>
      <w:pPr>
        <w:spacing w:line="360" w:lineRule="auto"/>
        <w:jc w:val="center"/>
        <w:outlineLvl w:val="1"/>
        <w:rPr>
          <w:rFonts w:hint="eastAsia"/>
          <w:b/>
          <w:bCs/>
          <w:sz w:val="24"/>
        </w:rPr>
      </w:pPr>
      <w:bookmarkStart w:id="296" w:name="_Toc14604"/>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rPr>
      </w:pPr>
    </w:p>
    <w:p>
      <w:pPr>
        <w:spacing w:line="360" w:lineRule="auto"/>
        <w:jc w:val="center"/>
        <w:outlineLvl w:val="1"/>
        <w:rPr>
          <w:rFonts w:hint="eastAsia"/>
          <w:b/>
          <w:bCs/>
          <w:sz w:val="24"/>
          <w:lang w:val="en-US" w:eastAsia="zh-CN"/>
        </w:rPr>
      </w:pPr>
    </w:p>
    <w:p>
      <w:pPr>
        <w:spacing w:line="360" w:lineRule="auto"/>
        <w:jc w:val="center"/>
        <w:outlineLvl w:val="1"/>
        <w:rPr>
          <w:rFonts w:hint="eastAsia"/>
          <w:b/>
          <w:bCs/>
          <w:sz w:val="24"/>
          <w:lang w:val="en-US" w:eastAsia="zh-CN"/>
        </w:rPr>
      </w:pPr>
    </w:p>
    <w:p>
      <w:pPr>
        <w:spacing w:line="360" w:lineRule="auto"/>
        <w:jc w:val="center"/>
        <w:outlineLvl w:val="1"/>
        <w:rPr>
          <w:rFonts w:hint="eastAsia"/>
          <w:b/>
          <w:bCs/>
          <w:sz w:val="24"/>
          <w:lang w:val="en-US" w:eastAsia="zh-CN"/>
        </w:rPr>
      </w:pPr>
    </w:p>
    <w:p>
      <w:pPr>
        <w:spacing w:line="360" w:lineRule="auto"/>
        <w:jc w:val="center"/>
        <w:outlineLvl w:val="1"/>
        <w:rPr>
          <w:b/>
          <w:bCs/>
          <w:sz w:val="24"/>
        </w:rPr>
      </w:pPr>
      <w:bookmarkStart w:id="297" w:name="_Toc6238"/>
      <w:bookmarkStart w:id="298" w:name="_Toc29560"/>
      <w:r>
        <w:rPr>
          <w:rFonts w:hint="eastAsia"/>
          <w:b/>
          <w:bCs/>
          <w:sz w:val="24"/>
          <w:lang w:val="en-US" w:eastAsia="zh-CN"/>
        </w:rPr>
        <w:t>4-2</w:t>
      </w:r>
      <w:r>
        <w:rPr>
          <w:rFonts w:hint="eastAsia"/>
          <w:b/>
          <w:bCs/>
          <w:sz w:val="24"/>
        </w:rPr>
        <w:t>有效的法人营业执照复印件或其他法人登记证书复印件；</w:t>
      </w:r>
      <w:bookmarkEnd w:id="296"/>
      <w:bookmarkEnd w:id="297"/>
      <w:bookmarkEnd w:id="298"/>
    </w:p>
    <w:p>
      <w:pPr>
        <w:spacing w:line="360" w:lineRule="auto"/>
        <w:ind w:firstLine="562" w:firstLineChars="200"/>
        <w:rPr>
          <w:rFonts w:hint="eastAsia" w:ascii="宋体" w:hAnsi="宋体" w:cs="宋体"/>
          <w:b/>
          <w:sz w:val="28"/>
          <w:szCs w:val="28"/>
          <w:u w:val="single"/>
          <w:lang w:eastAsia="zh-CN"/>
        </w:rPr>
      </w:pPr>
    </w:p>
    <w:p>
      <w:pPr>
        <w:spacing w:line="360" w:lineRule="auto"/>
        <w:rPr>
          <w:rFonts w:ascii="宋体"/>
          <w:sz w:val="24"/>
          <w:szCs w:val="24"/>
        </w:rPr>
      </w:pPr>
      <w:r>
        <w:rPr>
          <w:rFonts w:hint="eastAsia" w:ascii="宋体" w:hAnsi="宋体" w:cs="宋体"/>
          <w:b/>
          <w:sz w:val="24"/>
          <w:szCs w:val="24"/>
          <w:u w:val="single"/>
          <w:lang w:eastAsia="zh-CN"/>
        </w:rPr>
        <w:t xml:space="preserve">龙岩智发科技有限责任公司 </w:t>
      </w:r>
      <w:r>
        <w:rPr>
          <w:rFonts w:hint="eastAsia" w:ascii="宋体" w:hAnsi="宋体"/>
          <w:sz w:val="24"/>
          <w:szCs w:val="24"/>
        </w:rPr>
        <w:t>：</w:t>
      </w:r>
    </w:p>
    <w:p>
      <w:pPr>
        <w:spacing w:line="360" w:lineRule="auto"/>
        <w:ind w:firstLine="480" w:firstLineChars="200"/>
        <w:rPr>
          <w:rFonts w:ascii="宋体"/>
          <w:sz w:val="24"/>
          <w:szCs w:val="20"/>
        </w:rPr>
      </w:pPr>
    </w:p>
    <w:p>
      <w:pPr>
        <w:spacing w:line="360" w:lineRule="auto"/>
        <w:ind w:firstLine="480" w:firstLineChars="200"/>
        <w:rPr>
          <w:rFonts w:ascii="宋体"/>
          <w:sz w:val="24"/>
        </w:rPr>
      </w:pPr>
      <w:r>
        <w:rPr>
          <w:rFonts w:hint="eastAsia" w:ascii="宋体" w:hAnsi="宋体"/>
          <w:sz w:val="24"/>
        </w:rPr>
        <w:t>现附上由</w:t>
      </w:r>
      <w:r>
        <w:rPr>
          <w:rFonts w:hint="eastAsia" w:ascii="宋体" w:hAnsi="宋体"/>
          <w:sz w:val="24"/>
          <w:u w:val="single"/>
          <w:lang w:val="en-US" w:eastAsia="zh-CN"/>
        </w:rPr>
        <w:t xml:space="preserve">             </w:t>
      </w:r>
      <w:r>
        <w:rPr>
          <w:rFonts w:hint="eastAsia" w:ascii="宋体" w:hAnsi="宋体"/>
          <w:sz w:val="24"/>
        </w:rPr>
        <w:t>（签发机关名称）签发的我方营业执照副本复印件，该执照已经年检，真实有效。</w:t>
      </w:r>
    </w:p>
    <w:p>
      <w:pPr>
        <w:spacing w:line="360" w:lineRule="auto"/>
        <w:ind w:firstLine="480" w:firstLineChars="200"/>
        <w:rPr>
          <w:rFonts w:ascii="宋体"/>
          <w:sz w:val="24"/>
          <w:szCs w:val="20"/>
        </w:rPr>
      </w:pPr>
    </w:p>
    <w:p>
      <w:pPr>
        <w:spacing w:line="360" w:lineRule="auto"/>
        <w:ind w:firstLine="480" w:firstLineChars="200"/>
        <w:rPr>
          <w:rFonts w:ascii="宋体"/>
          <w:sz w:val="24"/>
          <w:szCs w:val="20"/>
        </w:rPr>
      </w:pPr>
    </w:p>
    <w:p>
      <w:pPr>
        <w:spacing w:line="360" w:lineRule="auto"/>
        <w:ind w:firstLine="480" w:firstLineChars="200"/>
        <w:rPr>
          <w:rFonts w:ascii="宋体"/>
          <w:sz w:val="24"/>
          <w:szCs w:val="20"/>
        </w:rPr>
      </w:pPr>
    </w:p>
    <w:p>
      <w:pPr>
        <w:spacing w:line="360" w:lineRule="auto"/>
        <w:ind w:firstLine="480" w:firstLineChars="200"/>
        <w:rPr>
          <w:rFonts w:ascii="宋体"/>
          <w:sz w:val="24"/>
          <w:szCs w:val="20"/>
        </w:rPr>
      </w:pPr>
    </w:p>
    <w:p>
      <w:pPr>
        <w:spacing w:line="360" w:lineRule="auto"/>
        <w:ind w:firstLine="480" w:firstLineChars="200"/>
        <w:rPr>
          <w:rFonts w:ascii="宋体"/>
          <w:sz w:val="24"/>
          <w:szCs w:val="20"/>
        </w:rPr>
      </w:pPr>
    </w:p>
    <w:p>
      <w:pPr>
        <w:spacing w:line="360" w:lineRule="auto"/>
        <w:ind w:firstLine="480" w:firstLineChars="200"/>
        <w:rPr>
          <w:rFonts w:ascii="宋体"/>
          <w:sz w:val="24"/>
          <w:szCs w:val="20"/>
        </w:rPr>
      </w:pPr>
    </w:p>
    <w:p>
      <w:pPr>
        <w:spacing w:line="360" w:lineRule="auto"/>
        <w:ind w:firstLine="480" w:firstLineChars="200"/>
        <w:rPr>
          <w:rFonts w:ascii="宋体"/>
          <w:sz w:val="24"/>
          <w:szCs w:val="20"/>
        </w:rPr>
      </w:pPr>
    </w:p>
    <w:p>
      <w:pPr>
        <w:spacing w:line="360" w:lineRule="auto"/>
        <w:ind w:firstLine="480" w:firstLineChars="200"/>
        <w:rPr>
          <w:rFonts w:ascii="宋体"/>
          <w:sz w:val="24"/>
        </w:rPr>
      </w:pPr>
      <w:r>
        <w:rPr>
          <w:rFonts w:ascii="宋体" w:hAnsi="宋体"/>
          <w:sz w:val="24"/>
        </w:rPr>
        <w:t xml:space="preserve">                         </w:t>
      </w:r>
      <w:r>
        <w:rPr>
          <w:rFonts w:hint="eastAsia" w:ascii="宋体" w:hAnsi="宋体"/>
          <w:sz w:val="24"/>
        </w:rPr>
        <w:t>供应商（全称并加盖公章）：</w:t>
      </w:r>
    </w:p>
    <w:p>
      <w:pPr>
        <w:spacing w:line="360" w:lineRule="auto"/>
        <w:ind w:firstLine="480" w:firstLineChars="200"/>
        <w:rPr>
          <w:rFonts w:ascii="宋体"/>
          <w:sz w:val="24"/>
        </w:rPr>
      </w:pPr>
      <w:r>
        <w:rPr>
          <w:rFonts w:ascii="宋体" w:hAnsi="宋体"/>
          <w:sz w:val="24"/>
        </w:rPr>
        <w:t xml:space="preserve">                         </w:t>
      </w:r>
      <w:r>
        <w:rPr>
          <w:rFonts w:hint="eastAsia" w:ascii="宋体" w:hAnsi="宋体"/>
          <w:sz w:val="24"/>
        </w:rPr>
        <w:t>供应商代表签字或盖章：</w:t>
      </w:r>
    </w:p>
    <w:p>
      <w:pPr>
        <w:spacing w:line="360" w:lineRule="auto"/>
        <w:ind w:firstLine="480" w:firstLineChars="200"/>
        <w:rPr>
          <w:rFonts w:ascii="宋体"/>
          <w:sz w:val="24"/>
        </w:rPr>
      </w:pP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pStyle w:val="16"/>
        <w:rPr>
          <w:rFonts w:ascii="宋体"/>
          <w:b/>
          <w:sz w:val="24"/>
        </w:rPr>
      </w:pPr>
    </w:p>
    <w:p>
      <w:pPr>
        <w:rPr>
          <w:rFonts w:ascii="宋体"/>
          <w:b/>
          <w:sz w:val="24"/>
        </w:rPr>
      </w:pPr>
    </w:p>
    <w:p>
      <w:pPr>
        <w:pStyle w:val="16"/>
        <w:rPr>
          <w:rFonts w:ascii="宋体"/>
          <w:b/>
          <w:sz w:val="24"/>
        </w:rPr>
      </w:pPr>
    </w:p>
    <w:p>
      <w:pPr>
        <w:rPr>
          <w:rFonts w:ascii="宋体"/>
          <w:b/>
          <w:sz w:val="24"/>
        </w:rPr>
      </w:pPr>
    </w:p>
    <w:p>
      <w:pPr>
        <w:pStyle w:val="16"/>
        <w:rPr>
          <w:rFonts w:ascii="宋体"/>
          <w:b/>
          <w:sz w:val="24"/>
        </w:rPr>
      </w:pPr>
    </w:p>
    <w:p>
      <w:pPr>
        <w:rPr>
          <w:rFonts w:ascii="宋体"/>
          <w:b/>
          <w:sz w:val="24"/>
        </w:rPr>
      </w:pPr>
    </w:p>
    <w:p>
      <w:pPr>
        <w:pStyle w:val="16"/>
        <w:rPr>
          <w:rFonts w:ascii="宋体"/>
          <w:b/>
          <w:sz w:val="24"/>
        </w:rPr>
      </w:pPr>
    </w:p>
    <w:p>
      <w:pPr>
        <w:rPr>
          <w:rFonts w:ascii="宋体"/>
          <w:b/>
          <w:sz w:val="24"/>
        </w:rPr>
      </w:pPr>
    </w:p>
    <w:p>
      <w:pPr>
        <w:pStyle w:val="16"/>
        <w:rPr>
          <w:rFonts w:ascii="宋体"/>
          <w:b/>
          <w:sz w:val="24"/>
        </w:rPr>
      </w:pPr>
    </w:p>
    <w:p>
      <w:pPr>
        <w:rPr>
          <w:rFonts w:ascii="宋体"/>
          <w:b/>
          <w:sz w:val="24"/>
        </w:rPr>
      </w:pPr>
    </w:p>
    <w:p>
      <w:pPr>
        <w:pStyle w:val="16"/>
        <w:rPr>
          <w:rFonts w:ascii="宋体"/>
          <w:b/>
          <w:sz w:val="24"/>
        </w:rPr>
      </w:pPr>
    </w:p>
    <w:p>
      <w:pPr>
        <w:rPr>
          <w:rFonts w:ascii="宋体"/>
          <w:b/>
          <w:sz w:val="24"/>
        </w:rPr>
      </w:pPr>
    </w:p>
    <w:p>
      <w:pPr>
        <w:pStyle w:val="16"/>
      </w:pPr>
    </w:p>
    <w:p>
      <w:pPr>
        <w:rPr>
          <w:rFonts w:ascii="宋体"/>
          <w:b/>
          <w:sz w:val="24"/>
        </w:rPr>
      </w:pPr>
    </w:p>
    <w:p>
      <w:pPr>
        <w:pStyle w:val="16"/>
      </w:pPr>
    </w:p>
    <w:p>
      <w:pPr>
        <w:jc w:val="center"/>
        <w:rPr>
          <w:rFonts w:hint="eastAsia" w:ascii="宋体"/>
          <w:b/>
          <w:color w:val="auto"/>
          <w:kern w:val="2"/>
          <w:sz w:val="32"/>
          <w:szCs w:val="32"/>
        </w:rPr>
      </w:pPr>
      <w:bookmarkStart w:id="299" w:name="_Toc1738"/>
      <w:r>
        <w:rPr>
          <w:rFonts w:hint="eastAsia"/>
          <w:b/>
          <w:bCs/>
          <w:sz w:val="24"/>
          <w:lang w:val="en-US" w:eastAsia="zh-CN"/>
        </w:rPr>
        <w:t>4-3</w:t>
      </w:r>
      <w:r>
        <w:rPr>
          <w:rFonts w:hint="eastAsia" w:ascii="宋体"/>
          <w:b/>
          <w:color w:val="auto"/>
          <w:kern w:val="2"/>
          <w:sz w:val="24"/>
          <w:szCs w:val="24"/>
        </w:rPr>
        <w:t>法定代表人资格证明书</w:t>
      </w:r>
    </w:p>
    <w:p>
      <w:pPr>
        <w:rPr>
          <w:rFonts w:hint="eastAsia" w:ascii="宋体"/>
          <w:b/>
          <w:color w:val="auto"/>
          <w:kern w:val="2"/>
          <w:sz w:val="44"/>
        </w:rPr>
      </w:pPr>
    </w:p>
    <w:p>
      <w:pPr>
        <w:spacing w:line="460" w:lineRule="exact"/>
        <w:ind w:firstLine="403"/>
        <w:rPr>
          <w:rFonts w:hint="default" w:ascii="宋体" w:eastAsia="宋体"/>
          <w:color w:val="auto"/>
          <w:kern w:val="2"/>
          <w:sz w:val="24"/>
          <w:lang w:val="en-US" w:eastAsia="zh-CN"/>
        </w:rPr>
      </w:pPr>
      <w:r>
        <w:rPr>
          <w:rFonts w:hint="eastAsia" w:ascii="宋体"/>
          <w:color w:val="auto"/>
          <w:kern w:val="2"/>
          <w:sz w:val="24"/>
        </w:rPr>
        <w:t>单位名称：</w:t>
      </w:r>
      <w:r>
        <w:rPr>
          <w:rFonts w:hint="eastAsia" w:ascii="宋体"/>
          <w:color w:val="auto"/>
          <w:kern w:val="2"/>
          <w:sz w:val="24"/>
          <w:u w:val="single"/>
        </w:rPr>
        <w:t xml:space="preserve">   </w:t>
      </w:r>
      <w:r>
        <w:rPr>
          <w:rFonts w:hint="eastAsia" w:ascii="宋体"/>
          <w:color w:val="auto"/>
          <w:kern w:val="2"/>
          <w:sz w:val="24"/>
          <w:u w:val="single"/>
          <w:lang w:val="en-US" w:eastAsia="zh-CN"/>
        </w:rPr>
        <w:t xml:space="preserve">                               </w:t>
      </w:r>
    </w:p>
    <w:p>
      <w:pPr>
        <w:spacing w:line="460" w:lineRule="exact"/>
        <w:ind w:firstLine="403"/>
        <w:rPr>
          <w:rFonts w:hint="eastAsia" w:ascii="宋体"/>
          <w:color w:val="auto"/>
          <w:kern w:val="2"/>
          <w:sz w:val="24"/>
        </w:rPr>
      </w:pPr>
      <w:r>
        <w:rPr>
          <w:rFonts w:hint="eastAsia" w:ascii="宋体"/>
          <w:color w:val="auto"/>
          <w:kern w:val="2"/>
          <w:sz w:val="24"/>
        </w:rPr>
        <w:t>地    址：</w:t>
      </w:r>
      <w:r>
        <w:rPr>
          <w:rFonts w:hint="eastAsia" w:ascii="宋体"/>
          <w:color w:val="auto"/>
          <w:kern w:val="2"/>
          <w:sz w:val="24"/>
          <w:u w:val="single"/>
        </w:rPr>
        <w:t xml:space="preserve">   </w:t>
      </w:r>
      <w:r>
        <w:rPr>
          <w:rFonts w:hint="eastAsia" w:ascii="宋体"/>
          <w:color w:val="auto"/>
          <w:kern w:val="2"/>
          <w:sz w:val="24"/>
          <w:u w:val="single"/>
          <w:lang w:val="en-US" w:eastAsia="zh-CN"/>
        </w:rPr>
        <w:t xml:space="preserve">                               </w:t>
      </w:r>
    </w:p>
    <w:p>
      <w:pPr>
        <w:spacing w:line="460" w:lineRule="exact"/>
        <w:ind w:firstLine="403"/>
        <w:rPr>
          <w:rFonts w:hint="default" w:ascii="宋体" w:eastAsia="宋体"/>
          <w:color w:val="auto"/>
          <w:kern w:val="2"/>
          <w:sz w:val="24"/>
          <w:u w:val="single"/>
          <w:lang w:val="en-US" w:eastAsia="zh-CN"/>
        </w:rPr>
      </w:pPr>
      <w:r>
        <w:rPr>
          <w:rFonts w:hint="eastAsia" w:ascii="宋体"/>
          <w:color w:val="auto"/>
          <w:kern w:val="2"/>
          <w:sz w:val="24"/>
        </w:rPr>
        <w:t>姓    名：</w:t>
      </w:r>
      <w:r>
        <w:rPr>
          <w:rFonts w:hint="eastAsia" w:ascii="宋体"/>
          <w:color w:val="auto"/>
          <w:kern w:val="2"/>
          <w:sz w:val="24"/>
          <w:u w:val="single"/>
        </w:rPr>
        <w:t xml:space="preserve">   </w:t>
      </w:r>
      <w:r>
        <w:rPr>
          <w:rFonts w:hint="eastAsia" w:ascii="宋体"/>
          <w:color w:val="auto"/>
          <w:kern w:val="2"/>
          <w:sz w:val="24"/>
          <w:u w:val="single"/>
          <w:lang w:val="en-US" w:eastAsia="zh-CN"/>
        </w:rPr>
        <w:t xml:space="preserve">    </w:t>
      </w:r>
      <w:r>
        <w:rPr>
          <w:rFonts w:hint="eastAsia" w:ascii="宋体"/>
          <w:color w:val="auto"/>
          <w:kern w:val="2"/>
          <w:sz w:val="24"/>
        </w:rPr>
        <w:t xml:space="preserve"> 性别：</w:t>
      </w:r>
      <w:r>
        <w:rPr>
          <w:rFonts w:hint="eastAsia" w:ascii="宋体"/>
          <w:color w:val="auto"/>
          <w:kern w:val="2"/>
          <w:sz w:val="24"/>
          <w:u w:val="single"/>
        </w:rPr>
        <w:t xml:space="preserve">   </w:t>
      </w:r>
      <w:r>
        <w:rPr>
          <w:rFonts w:hint="eastAsia" w:ascii="宋体"/>
          <w:color w:val="auto"/>
          <w:kern w:val="2"/>
          <w:sz w:val="24"/>
          <w:u w:val="single"/>
          <w:lang w:val="en-US" w:eastAsia="zh-CN"/>
        </w:rPr>
        <w:t xml:space="preserve">    </w:t>
      </w:r>
      <w:r>
        <w:rPr>
          <w:rFonts w:hint="eastAsia" w:ascii="宋体"/>
          <w:color w:val="auto"/>
          <w:kern w:val="2"/>
          <w:sz w:val="24"/>
        </w:rPr>
        <w:t>年龄：</w:t>
      </w:r>
      <w:r>
        <w:rPr>
          <w:rFonts w:hint="eastAsia" w:ascii="宋体"/>
          <w:color w:val="auto"/>
          <w:kern w:val="2"/>
          <w:sz w:val="24"/>
          <w:u w:val="single"/>
        </w:rPr>
        <w:t xml:space="preserve">   </w:t>
      </w:r>
      <w:r>
        <w:rPr>
          <w:rFonts w:hint="eastAsia" w:ascii="宋体"/>
          <w:color w:val="auto"/>
          <w:kern w:val="2"/>
          <w:sz w:val="24"/>
          <w:u w:val="single"/>
          <w:lang w:val="en-US" w:eastAsia="zh-CN"/>
        </w:rPr>
        <w:t xml:space="preserve">    </w:t>
      </w:r>
      <w:r>
        <w:rPr>
          <w:rFonts w:hint="eastAsia" w:ascii="宋体"/>
          <w:color w:val="auto"/>
          <w:kern w:val="2"/>
          <w:sz w:val="24"/>
        </w:rPr>
        <w:t>职务：</w:t>
      </w:r>
      <w:r>
        <w:rPr>
          <w:rFonts w:hint="eastAsia" w:ascii="宋体"/>
          <w:color w:val="auto"/>
          <w:kern w:val="2"/>
          <w:sz w:val="24"/>
          <w:u w:val="single"/>
          <w:lang w:val="en-US" w:eastAsia="zh-CN"/>
        </w:rPr>
        <w:t xml:space="preserve">             </w:t>
      </w:r>
    </w:p>
    <w:p>
      <w:pPr>
        <w:spacing w:line="460" w:lineRule="exact"/>
        <w:ind w:firstLine="403"/>
        <w:rPr>
          <w:rFonts w:hint="eastAsia" w:ascii="宋体"/>
          <w:color w:val="auto"/>
          <w:kern w:val="2"/>
          <w:sz w:val="24"/>
        </w:rPr>
      </w:pPr>
      <w:r>
        <w:rPr>
          <w:rFonts w:hint="eastAsia" w:ascii="宋体"/>
          <w:color w:val="auto"/>
          <w:kern w:val="2"/>
          <w:sz w:val="24"/>
        </w:rPr>
        <w:t>身份证号：</w:t>
      </w:r>
      <w:r>
        <w:rPr>
          <w:rFonts w:hint="eastAsia" w:ascii="宋体"/>
          <w:color w:val="auto"/>
          <w:kern w:val="2"/>
          <w:sz w:val="24"/>
          <w:u w:val="single"/>
          <w:lang w:val="en-US" w:eastAsia="zh-CN"/>
        </w:rPr>
        <w:t xml:space="preserve">             </w:t>
      </w:r>
    </w:p>
    <w:p>
      <w:pPr>
        <w:spacing w:line="460" w:lineRule="exact"/>
        <w:ind w:firstLine="403"/>
        <w:rPr>
          <w:rFonts w:hint="eastAsia" w:ascii="宋体"/>
          <w:color w:val="auto"/>
          <w:kern w:val="2"/>
          <w:sz w:val="24"/>
        </w:rPr>
      </w:pPr>
      <w:r>
        <w:rPr>
          <w:rFonts w:hint="eastAsia" w:ascii="宋体"/>
          <w:color w:val="auto"/>
          <w:kern w:val="2"/>
          <w:sz w:val="24"/>
        </w:rPr>
        <w:t>系</w:t>
      </w:r>
      <w:r>
        <w:rPr>
          <w:rFonts w:hint="eastAsia" w:ascii="宋体"/>
          <w:color w:val="auto"/>
          <w:kern w:val="2"/>
          <w:sz w:val="24"/>
          <w:u w:val="single"/>
        </w:rPr>
        <w:t xml:space="preserve">                               </w:t>
      </w:r>
      <w:r>
        <w:rPr>
          <w:rFonts w:hint="eastAsia" w:ascii="宋体"/>
          <w:color w:val="auto"/>
          <w:kern w:val="2"/>
          <w:sz w:val="24"/>
        </w:rPr>
        <w:t>的法定代表人。参加</w:t>
      </w:r>
      <w:r>
        <w:rPr>
          <w:rFonts w:hint="eastAsia" w:ascii="宋体"/>
          <w:color w:val="auto"/>
          <w:kern w:val="2"/>
          <w:sz w:val="24"/>
          <w:u w:val="single"/>
        </w:rPr>
        <w:t xml:space="preserve">           </w:t>
      </w:r>
      <w:r>
        <w:rPr>
          <w:rFonts w:hint="eastAsia" w:ascii="宋体"/>
          <w:color w:val="auto"/>
          <w:kern w:val="2"/>
          <w:sz w:val="24"/>
        </w:rPr>
        <w:t>（</w:t>
      </w:r>
      <w:r>
        <w:rPr>
          <w:rFonts w:hint="eastAsia" w:ascii="宋体"/>
          <w:color w:val="auto"/>
          <w:kern w:val="2"/>
          <w:sz w:val="24"/>
          <w:lang w:val="en-US" w:eastAsia="zh-CN"/>
        </w:rPr>
        <w:t>采购</w:t>
      </w:r>
      <w:r>
        <w:rPr>
          <w:rFonts w:hint="eastAsia" w:ascii="宋体"/>
          <w:color w:val="auto"/>
          <w:kern w:val="2"/>
          <w:sz w:val="24"/>
        </w:rPr>
        <w:t>编号）的</w:t>
      </w:r>
      <w:r>
        <w:rPr>
          <w:rFonts w:hint="eastAsia" w:ascii="宋体"/>
          <w:color w:val="auto"/>
          <w:kern w:val="2"/>
          <w:sz w:val="24"/>
          <w:u w:val="single"/>
        </w:rPr>
        <w:t xml:space="preserve">                        </w:t>
      </w:r>
      <w:r>
        <w:rPr>
          <w:rFonts w:hint="eastAsia" w:ascii="宋体"/>
          <w:color w:val="auto"/>
          <w:kern w:val="2"/>
          <w:sz w:val="24"/>
        </w:rPr>
        <w:t>项目的</w:t>
      </w:r>
      <w:r>
        <w:rPr>
          <w:rFonts w:hint="eastAsia" w:hAnsi="宋体"/>
          <w:sz w:val="24"/>
        </w:rPr>
        <w:t>询价活动</w:t>
      </w:r>
      <w:r>
        <w:rPr>
          <w:rFonts w:hint="eastAsia" w:ascii="宋体"/>
          <w:color w:val="auto"/>
          <w:kern w:val="2"/>
          <w:sz w:val="24"/>
        </w:rPr>
        <w:t>，签署上述项目的</w:t>
      </w:r>
      <w:r>
        <w:rPr>
          <w:rFonts w:hint="eastAsia" w:ascii="宋体"/>
          <w:color w:val="auto"/>
          <w:kern w:val="2"/>
          <w:sz w:val="24"/>
          <w:lang w:val="en-US" w:eastAsia="zh-CN"/>
        </w:rPr>
        <w:t>询价响应</w:t>
      </w:r>
      <w:r>
        <w:rPr>
          <w:rFonts w:hint="eastAsia" w:ascii="宋体"/>
          <w:color w:val="auto"/>
          <w:kern w:val="2"/>
          <w:sz w:val="24"/>
        </w:rPr>
        <w:t>文件，进行合同谈判并处理与之有关的一切事务。</w:t>
      </w:r>
    </w:p>
    <w:p>
      <w:pPr>
        <w:spacing w:line="460" w:lineRule="exact"/>
        <w:ind w:firstLine="403"/>
        <w:rPr>
          <w:rFonts w:hint="eastAsia" w:ascii="宋体"/>
          <w:color w:val="auto"/>
          <w:kern w:val="2"/>
          <w:sz w:val="24"/>
        </w:rPr>
      </w:pPr>
    </w:p>
    <w:p>
      <w:pPr>
        <w:spacing w:line="380" w:lineRule="exact"/>
        <w:ind w:firstLine="525"/>
        <w:rPr>
          <w:rFonts w:hint="eastAsia" w:ascii="宋体" w:cs="宋体"/>
          <w:color w:val="auto"/>
          <w:kern w:val="2"/>
          <w:sz w:val="24"/>
        </w:rPr>
      </w:pPr>
      <w:r>
        <w:rPr>
          <w:rFonts w:hint="eastAsia" w:ascii="宋体" w:cs="宋体"/>
          <w:color w:val="auto"/>
          <w:kern w:val="2"/>
          <w:sz w:val="24"/>
        </w:rPr>
        <w:t>供应商（盖章）：</w:t>
      </w:r>
      <w:r>
        <w:rPr>
          <w:rFonts w:hint="eastAsia" w:ascii="宋体"/>
          <w:color w:val="auto"/>
          <w:kern w:val="2"/>
          <w:sz w:val="24"/>
          <w:u w:val="single"/>
        </w:rPr>
        <w:t xml:space="preserve">                       </w:t>
      </w:r>
    </w:p>
    <w:p>
      <w:pPr>
        <w:spacing w:line="460" w:lineRule="exact"/>
        <w:ind w:firstLine="403"/>
        <w:rPr>
          <w:rFonts w:hint="eastAsia" w:ascii="宋体"/>
          <w:color w:val="auto"/>
          <w:kern w:val="2"/>
          <w:sz w:val="24"/>
        </w:rPr>
      </w:pPr>
    </w:p>
    <w:p>
      <w:pPr>
        <w:spacing w:line="460" w:lineRule="exact"/>
        <w:ind w:firstLine="403"/>
        <w:rPr>
          <w:rFonts w:hint="eastAsia" w:ascii="宋体"/>
          <w:color w:val="auto"/>
          <w:kern w:val="2"/>
          <w:sz w:val="24"/>
          <w:u w:val="single"/>
        </w:rPr>
      </w:pPr>
      <w:r>
        <w:rPr>
          <w:rFonts w:hint="eastAsia" w:ascii="宋体"/>
          <w:color w:val="auto"/>
          <w:kern w:val="2"/>
          <w:sz w:val="24"/>
        </w:rPr>
        <w:t>法定代表人（签字或盖章）：</w:t>
      </w:r>
      <w:r>
        <w:rPr>
          <w:rFonts w:hint="eastAsia" w:ascii="宋体"/>
          <w:color w:val="auto"/>
          <w:kern w:val="2"/>
          <w:sz w:val="24"/>
          <w:u w:val="single"/>
        </w:rPr>
        <w:t xml:space="preserve">             </w:t>
      </w:r>
    </w:p>
    <w:p>
      <w:pPr>
        <w:spacing w:line="460" w:lineRule="exact"/>
        <w:ind w:firstLine="403"/>
        <w:rPr>
          <w:rFonts w:hint="eastAsia" w:ascii="宋体"/>
          <w:color w:val="auto"/>
          <w:kern w:val="2"/>
          <w:sz w:val="24"/>
        </w:rPr>
      </w:pPr>
    </w:p>
    <w:p>
      <w:pPr>
        <w:spacing w:line="460" w:lineRule="exact"/>
        <w:ind w:firstLine="403"/>
        <w:rPr>
          <w:rFonts w:hint="eastAsia" w:ascii="宋体"/>
          <w:color w:val="auto"/>
          <w:kern w:val="2"/>
          <w:sz w:val="24"/>
        </w:rPr>
      </w:pPr>
    </w:p>
    <w:p>
      <w:pPr>
        <w:spacing w:line="460" w:lineRule="exact"/>
        <w:ind w:firstLine="403"/>
        <w:jc w:val="right"/>
        <w:rPr>
          <w:rFonts w:hint="eastAsia" w:ascii="宋体"/>
          <w:color w:val="auto"/>
          <w:kern w:val="2"/>
          <w:sz w:val="24"/>
        </w:rPr>
      </w:pPr>
      <w:r>
        <w:rPr>
          <w:rFonts w:hint="eastAsia" w:ascii="宋体"/>
          <w:color w:val="auto"/>
          <w:kern w:val="2"/>
          <w:sz w:val="24"/>
        </w:rPr>
        <w:t>年     月    日</w:t>
      </w:r>
    </w:p>
    <w:p>
      <w:pPr>
        <w:spacing w:line="360" w:lineRule="auto"/>
        <w:jc w:val="center"/>
        <w:outlineLvl w:val="1"/>
        <w:rPr>
          <w:rFonts w:hint="eastAsia"/>
          <w:b/>
          <w:bCs/>
          <w:sz w:val="24"/>
          <w:lang w:val="en-US" w:eastAsia="zh-CN"/>
        </w:rPr>
      </w:pPr>
    </w:p>
    <w:p>
      <w:pPr>
        <w:spacing w:line="360" w:lineRule="auto"/>
        <w:jc w:val="center"/>
        <w:outlineLvl w:val="1"/>
        <w:rPr>
          <w:rFonts w:hint="eastAsia"/>
          <w:b/>
          <w:bCs/>
          <w:sz w:val="24"/>
          <w:lang w:val="en-US" w:eastAsia="zh-CN"/>
        </w:rPr>
      </w:pPr>
    </w:p>
    <w:p>
      <w:pPr>
        <w:spacing w:line="360" w:lineRule="auto"/>
        <w:jc w:val="center"/>
        <w:outlineLvl w:val="1"/>
        <w:rPr>
          <w:rFonts w:hint="eastAsia"/>
          <w:b/>
          <w:bCs/>
          <w:sz w:val="24"/>
          <w:lang w:val="en-US" w:eastAsia="zh-CN"/>
        </w:rPr>
      </w:pPr>
    </w:p>
    <w:p>
      <w:pPr>
        <w:spacing w:line="360" w:lineRule="auto"/>
        <w:jc w:val="center"/>
        <w:outlineLvl w:val="1"/>
        <w:rPr>
          <w:rFonts w:hint="eastAsia"/>
          <w:b/>
          <w:bCs/>
          <w:sz w:val="24"/>
          <w:lang w:val="en-US" w:eastAsia="zh-CN"/>
        </w:rPr>
      </w:pPr>
    </w:p>
    <w:p>
      <w:pPr>
        <w:pStyle w:val="16"/>
        <w:rPr>
          <w:rFonts w:hint="eastAsia"/>
          <w:b/>
          <w:bCs/>
          <w:sz w:val="24"/>
          <w:lang w:val="en-US" w:eastAsia="zh-CN"/>
        </w:rPr>
      </w:pPr>
    </w:p>
    <w:p>
      <w:pPr>
        <w:rPr>
          <w:rFonts w:hint="eastAsia"/>
          <w:b/>
          <w:bCs/>
          <w:sz w:val="24"/>
          <w:lang w:val="en-US" w:eastAsia="zh-CN"/>
        </w:rPr>
      </w:pPr>
    </w:p>
    <w:p>
      <w:pPr>
        <w:pStyle w:val="16"/>
        <w:rPr>
          <w:rFonts w:hint="eastAsia"/>
          <w:b/>
          <w:bCs/>
          <w:sz w:val="24"/>
          <w:lang w:val="en-US" w:eastAsia="zh-CN"/>
        </w:rPr>
      </w:pPr>
    </w:p>
    <w:p>
      <w:pPr>
        <w:rPr>
          <w:rFonts w:hint="eastAsia"/>
          <w:b/>
          <w:bCs/>
          <w:sz w:val="24"/>
          <w:lang w:val="en-US" w:eastAsia="zh-CN"/>
        </w:rPr>
      </w:pPr>
    </w:p>
    <w:p>
      <w:pPr>
        <w:pStyle w:val="16"/>
        <w:rPr>
          <w:rFonts w:hint="eastAsia"/>
          <w:b/>
          <w:bCs/>
          <w:sz w:val="24"/>
          <w:lang w:val="en-US" w:eastAsia="zh-CN"/>
        </w:rPr>
      </w:pPr>
    </w:p>
    <w:p>
      <w:pPr>
        <w:rPr>
          <w:rFonts w:hint="eastAsia"/>
          <w:b/>
          <w:bCs/>
          <w:sz w:val="24"/>
          <w:lang w:val="en-US" w:eastAsia="zh-CN"/>
        </w:rPr>
      </w:pPr>
    </w:p>
    <w:p>
      <w:pPr>
        <w:pStyle w:val="16"/>
        <w:rPr>
          <w:rFonts w:hint="eastAsia"/>
          <w:b/>
          <w:bCs/>
          <w:sz w:val="24"/>
          <w:lang w:val="en-US" w:eastAsia="zh-CN"/>
        </w:rPr>
      </w:pPr>
    </w:p>
    <w:p>
      <w:pPr>
        <w:rPr>
          <w:rFonts w:hint="eastAsia"/>
          <w:b/>
          <w:bCs/>
          <w:sz w:val="24"/>
          <w:lang w:val="en-US" w:eastAsia="zh-CN"/>
        </w:rPr>
      </w:pPr>
    </w:p>
    <w:p>
      <w:pPr>
        <w:pStyle w:val="16"/>
        <w:rPr>
          <w:rFonts w:hint="eastAsia"/>
          <w:b/>
          <w:bCs/>
          <w:sz w:val="24"/>
          <w:lang w:val="en-US" w:eastAsia="zh-CN"/>
        </w:rPr>
      </w:pPr>
    </w:p>
    <w:p>
      <w:pPr>
        <w:rPr>
          <w:rFonts w:hint="eastAsia"/>
          <w:lang w:val="en-US" w:eastAsia="zh-CN"/>
        </w:rPr>
      </w:pPr>
    </w:p>
    <w:p>
      <w:pPr>
        <w:rPr>
          <w:rFonts w:hint="eastAsia"/>
          <w:b/>
          <w:bCs/>
          <w:sz w:val="24"/>
          <w:lang w:val="en-US" w:eastAsia="zh-CN"/>
        </w:rPr>
      </w:pPr>
    </w:p>
    <w:p>
      <w:pPr>
        <w:pStyle w:val="16"/>
        <w:rPr>
          <w:rFonts w:hint="eastAsia"/>
          <w:lang w:val="en-US" w:eastAsia="zh-CN"/>
        </w:rPr>
      </w:pPr>
    </w:p>
    <w:p>
      <w:pPr>
        <w:spacing w:line="360" w:lineRule="auto"/>
        <w:jc w:val="center"/>
        <w:outlineLvl w:val="1"/>
        <w:rPr>
          <w:rFonts w:hint="eastAsia"/>
          <w:b/>
          <w:bCs/>
          <w:sz w:val="24"/>
          <w:lang w:val="en-US" w:eastAsia="zh-CN"/>
        </w:rPr>
      </w:pPr>
    </w:p>
    <w:p>
      <w:pPr>
        <w:spacing w:line="360" w:lineRule="auto"/>
        <w:jc w:val="center"/>
        <w:outlineLvl w:val="1"/>
        <w:rPr>
          <w:b/>
          <w:bCs/>
          <w:sz w:val="24"/>
        </w:rPr>
      </w:pPr>
      <w:bookmarkStart w:id="300" w:name="_Toc1848"/>
      <w:bookmarkStart w:id="301" w:name="_Toc13019"/>
      <w:r>
        <w:rPr>
          <w:rFonts w:hint="eastAsia"/>
          <w:b/>
          <w:bCs/>
          <w:sz w:val="24"/>
        </w:rPr>
        <w:t>法定代表人授权书原件（非法定代表人参加时提供）；</w:t>
      </w:r>
      <w:bookmarkEnd w:id="299"/>
      <w:bookmarkEnd w:id="300"/>
      <w:bookmarkEnd w:id="301"/>
    </w:p>
    <w:p>
      <w:pPr>
        <w:spacing w:line="360" w:lineRule="auto"/>
        <w:rPr>
          <w:rFonts w:ascii="宋体"/>
          <w:sz w:val="24"/>
        </w:rPr>
      </w:pPr>
      <w:r>
        <w:rPr>
          <w:rFonts w:hint="eastAsia" w:ascii="宋体" w:hAnsi="宋体"/>
          <w:sz w:val="24"/>
          <w:u w:val="single"/>
          <w:lang w:eastAsia="zh-CN"/>
        </w:rPr>
        <w:t xml:space="preserve">龙岩智发科技有限责任公司 </w:t>
      </w:r>
      <w:r>
        <w:rPr>
          <w:rFonts w:hint="eastAsia" w:ascii="宋体" w:hAnsi="宋体"/>
          <w:sz w:val="24"/>
        </w:rPr>
        <w:t>：</w:t>
      </w:r>
    </w:p>
    <w:p>
      <w:pPr>
        <w:pStyle w:val="17"/>
        <w:snapToGrid w:val="0"/>
        <w:spacing w:line="360" w:lineRule="auto"/>
        <w:ind w:firstLine="480" w:firstLineChars="200"/>
        <w:jc w:val="left"/>
        <w:rPr>
          <w:rFonts w:hAnsi="宋体"/>
          <w:sz w:val="24"/>
        </w:rPr>
      </w:pPr>
      <w:r>
        <w:rPr>
          <w:rFonts w:hint="eastAsia" w:hAnsi="宋体"/>
          <w:sz w:val="24"/>
          <w:u w:val="single"/>
        </w:rPr>
        <w:t>（供应商全称）</w:t>
      </w:r>
      <w:r>
        <w:rPr>
          <w:rFonts w:hint="eastAsia" w:hAnsi="宋体"/>
          <w:sz w:val="24"/>
        </w:rPr>
        <w:t>法定代表人</w:t>
      </w:r>
      <w:r>
        <w:rPr>
          <w:rFonts w:hAnsi="宋体"/>
          <w:sz w:val="24"/>
        </w:rPr>
        <w:t xml:space="preserve"> </w:t>
      </w:r>
      <w:r>
        <w:rPr>
          <w:rFonts w:hint="eastAsia" w:hAnsi="宋体"/>
          <w:sz w:val="24"/>
        </w:rPr>
        <w:t>授权</w:t>
      </w:r>
      <w:r>
        <w:rPr>
          <w:rFonts w:hAnsi="宋体"/>
          <w:sz w:val="24"/>
          <w:u w:val="single"/>
        </w:rPr>
        <w:t xml:space="preserve">  </w:t>
      </w:r>
      <w:r>
        <w:rPr>
          <w:rFonts w:hint="eastAsia" w:hAnsi="宋体"/>
          <w:sz w:val="24"/>
          <w:u w:val="single"/>
        </w:rPr>
        <w:t>（供应商代表姓名）</w:t>
      </w:r>
      <w:r>
        <w:rPr>
          <w:rFonts w:hint="eastAsia" w:hAnsi="宋体"/>
          <w:sz w:val="24"/>
        </w:rPr>
        <w:t>为询价供应商代表，代表本公司参加贵司组织的项目</w:t>
      </w:r>
      <w:r>
        <w:rPr>
          <w:rFonts w:hint="eastAsia" w:hAnsi="宋体"/>
          <w:sz w:val="24"/>
          <w:u w:val="single"/>
        </w:rPr>
        <w:t>（采购编号）</w:t>
      </w:r>
      <w:r>
        <w:rPr>
          <w:rFonts w:hint="eastAsia" w:hAnsi="宋体"/>
          <w:sz w:val="24"/>
        </w:rPr>
        <w:t>询价活动，全权代表本公司处理询价过程的一切事宜，包括但不限于：递交询价响应文件、参与询价、谈判、签约等。询价供应商代表在询价过程中所签署的一切文件和处理与之有关的一切事务，本公司均予以认可并对此承担责任。询价供应商代表无转委权。特此授权。</w:t>
      </w:r>
    </w:p>
    <w:p>
      <w:pPr>
        <w:pStyle w:val="17"/>
        <w:snapToGrid w:val="0"/>
        <w:spacing w:line="360" w:lineRule="auto"/>
        <w:ind w:firstLine="480" w:firstLineChars="200"/>
        <w:jc w:val="left"/>
        <w:rPr>
          <w:rFonts w:hAnsi="宋体"/>
          <w:sz w:val="24"/>
        </w:rPr>
      </w:pPr>
      <w:r>
        <w:rPr>
          <w:rFonts w:hint="eastAsia" w:hAnsi="宋体"/>
          <w:sz w:val="24"/>
        </w:rPr>
        <w:t>本授权书自出具之日起生效。</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sz w:val="24"/>
        </w:rPr>
        <w:t>询价供应商代表：</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性别：</w:t>
      </w:r>
      <w:r>
        <w:rPr>
          <w:rFonts w:hint="eastAsia" w:ascii="宋体" w:hAnsi="宋体"/>
          <w:sz w:val="24"/>
          <w:u w:val="single"/>
          <w:lang w:val="en-US" w:eastAsia="zh-CN"/>
        </w:rPr>
        <w:t xml:space="preserve">       </w:t>
      </w:r>
      <w:r>
        <w:rPr>
          <w:rFonts w:hint="eastAsia" w:ascii="宋体" w:hAnsi="宋体"/>
          <w:sz w:val="24"/>
        </w:rPr>
        <w:t>身份证号：</w:t>
      </w:r>
      <w:r>
        <w:rPr>
          <w:rFonts w:hint="eastAsia" w:ascii="宋体" w:hAnsi="宋体"/>
          <w:sz w:val="24"/>
          <w:u w:val="single"/>
          <w:lang w:val="en-US" w:eastAsia="zh-CN"/>
        </w:rPr>
        <w:t xml:space="preserve">       </w:t>
      </w:r>
    </w:p>
    <w:p>
      <w:pPr>
        <w:spacing w:line="360" w:lineRule="auto"/>
        <w:ind w:firstLine="480" w:firstLineChars="200"/>
        <w:rPr>
          <w:rFonts w:ascii="宋体"/>
          <w:sz w:val="24"/>
        </w:rPr>
      </w:pPr>
      <w:r>
        <w:rPr>
          <w:rFonts w:hint="eastAsia" w:ascii="宋体" w:hAnsi="宋体"/>
          <w:sz w:val="24"/>
        </w:rPr>
        <w:t>单位：</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部门：</w:t>
      </w:r>
      <w:r>
        <w:rPr>
          <w:rFonts w:hint="eastAsia" w:ascii="宋体" w:hAnsi="宋体"/>
          <w:sz w:val="24"/>
          <w:u w:val="single"/>
          <w:lang w:val="en-US" w:eastAsia="zh-CN"/>
        </w:rPr>
        <w:t xml:space="preserve">       </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职务：</w:t>
      </w:r>
      <w:r>
        <w:rPr>
          <w:rFonts w:hint="eastAsia" w:ascii="宋体" w:hAnsi="宋体"/>
          <w:sz w:val="24"/>
          <w:u w:val="single"/>
          <w:lang w:val="en-US" w:eastAsia="zh-CN"/>
        </w:rPr>
        <w:t xml:space="preserve">       </w:t>
      </w:r>
    </w:p>
    <w:p>
      <w:pPr>
        <w:spacing w:line="360" w:lineRule="auto"/>
        <w:ind w:firstLine="480" w:firstLineChars="200"/>
        <w:rPr>
          <w:rFonts w:ascii="宋体"/>
          <w:sz w:val="24"/>
        </w:rPr>
      </w:pPr>
      <w:r>
        <w:rPr>
          <w:rFonts w:hint="eastAsia" w:ascii="宋体" w:hAnsi="宋体"/>
          <w:sz w:val="24"/>
        </w:rPr>
        <w:t>详细通讯地址：</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邮政编码</w:t>
      </w:r>
      <w:r>
        <w:rPr>
          <w:rFonts w:ascii="宋体" w:hAnsi="宋体"/>
          <w:sz w:val="24"/>
        </w:rPr>
        <w:t xml:space="preserve">: </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电话：</w:t>
      </w:r>
      <w:r>
        <w:rPr>
          <w:rFonts w:hint="eastAsia" w:ascii="宋体" w:hAnsi="宋体"/>
          <w:sz w:val="24"/>
          <w:u w:val="single"/>
          <w:lang w:val="en-US" w:eastAsia="zh-CN"/>
        </w:rPr>
        <w:t xml:space="preserve">       </w:t>
      </w:r>
    </w:p>
    <w:p>
      <w:pPr>
        <w:spacing w:line="360" w:lineRule="auto"/>
        <w:ind w:firstLine="480" w:firstLineChars="200"/>
        <w:rPr>
          <w:rFonts w:ascii="宋体"/>
          <w:sz w:val="24"/>
        </w:rPr>
      </w:pPr>
    </w:p>
    <w:p>
      <w:pPr>
        <w:spacing w:line="360" w:lineRule="auto"/>
        <w:ind w:firstLine="482" w:firstLineChars="200"/>
        <w:rPr>
          <w:rFonts w:ascii="宋体"/>
          <w:b/>
          <w:sz w:val="24"/>
        </w:rPr>
      </w:pPr>
      <w:r>
        <w:rPr>
          <w:rFonts w:hint="eastAsia" w:ascii="宋体" w:hAnsi="宋体"/>
          <w:b/>
          <w:sz w:val="24"/>
        </w:rPr>
        <w:t>附：法定代表人、被授权人身份证复印件</w:t>
      </w:r>
    </w:p>
    <w:p>
      <w:pPr>
        <w:spacing w:line="360" w:lineRule="auto"/>
        <w:ind w:firstLine="482" w:firstLineChars="200"/>
        <w:rPr>
          <w:rFonts w:ascii="宋体"/>
          <w:b/>
          <w:sz w:val="24"/>
        </w:rPr>
      </w:pPr>
      <w:r>
        <w:rPr>
          <w:rFonts w:hint="eastAsia" w:ascii="宋体" w:hAnsi="宋体"/>
          <w:b/>
          <w:sz w:val="24"/>
        </w:rPr>
        <w:t>注：询价供应商代表为非法定代表人提供《法定代表人授权书》，询价供应商代表为法定代表人时，只须提供</w:t>
      </w:r>
      <w:r>
        <w:rPr>
          <w:rFonts w:hint="eastAsia" w:ascii="宋体"/>
          <w:b/>
          <w:color w:val="auto"/>
          <w:kern w:val="2"/>
          <w:sz w:val="24"/>
          <w:szCs w:val="24"/>
        </w:rPr>
        <w:t>法定代表人资格证明书</w:t>
      </w:r>
      <w:r>
        <w:rPr>
          <w:rFonts w:hint="eastAsia" w:ascii="宋体"/>
          <w:b/>
          <w:color w:val="auto"/>
          <w:kern w:val="2"/>
          <w:sz w:val="24"/>
          <w:szCs w:val="24"/>
          <w:lang w:val="en-US" w:eastAsia="zh-CN"/>
        </w:rPr>
        <w:t>及</w:t>
      </w:r>
      <w:r>
        <w:rPr>
          <w:rFonts w:hint="eastAsia" w:ascii="宋体" w:hAnsi="宋体"/>
          <w:b/>
          <w:sz w:val="24"/>
        </w:rPr>
        <w:t>身份证复印件。</w:t>
      </w:r>
    </w:p>
    <w:p>
      <w:pPr>
        <w:spacing w:line="360" w:lineRule="auto"/>
        <w:ind w:firstLine="480" w:firstLineChars="200"/>
        <w:rPr>
          <w:rFonts w:ascii="宋体"/>
          <w:sz w:val="24"/>
        </w:rPr>
      </w:pPr>
      <w:r>
        <w:rPr>
          <w:rFonts w:hint="eastAsia" w:ascii="宋体" w:hAnsi="宋体"/>
          <w:sz w:val="24"/>
        </w:rPr>
        <w:t>授权方</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sz w:val="24"/>
        </w:rPr>
        <w:t>供应商（全称并加盖公章）：</w:t>
      </w:r>
    </w:p>
    <w:p>
      <w:pPr>
        <w:spacing w:line="360" w:lineRule="auto"/>
        <w:ind w:firstLine="480" w:firstLineChars="200"/>
        <w:rPr>
          <w:rFonts w:ascii="宋体"/>
          <w:sz w:val="24"/>
        </w:rPr>
      </w:pPr>
      <w:r>
        <w:rPr>
          <w:rFonts w:hint="eastAsia" w:ascii="宋体" w:hAnsi="宋体"/>
          <w:sz w:val="24"/>
        </w:rPr>
        <w:t>法定代表人签字或盖章：</w:t>
      </w:r>
    </w:p>
    <w:p>
      <w:pPr>
        <w:spacing w:line="360" w:lineRule="auto"/>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sz w:val="24"/>
        </w:rPr>
        <w:t>接受授权方</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hAnsi="宋体"/>
          <w:sz w:val="24"/>
        </w:rPr>
        <w:t>供应商代表签字或盖章：</w:t>
      </w:r>
    </w:p>
    <w:p>
      <w:pPr>
        <w:spacing w:line="360" w:lineRule="auto"/>
        <w:ind w:firstLine="480" w:firstLineChars="200"/>
        <w:rPr>
          <w:rFonts w:ascii="宋体"/>
          <w:sz w:val="24"/>
        </w:rPr>
      </w:pPr>
    </w:p>
    <w:p>
      <w:pPr>
        <w:spacing w:line="360" w:lineRule="auto"/>
        <w:ind w:firstLine="420" w:firstLineChars="200"/>
        <w:rPr>
          <w:rFonts w:ascii="宋体"/>
          <w:sz w:val="24"/>
        </w:rPr>
      </w:pPr>
      <w:r>
        <w:rPr>
          <w:rFonts w:hint="eastAsia" w:ascii="宋体" w:hAnsi="宋体"/>
        </w:rPr>
        <w:t>日</w:t>
      </w:r>
      <w:r>
        <w:rPr>
          <w:rFonts w:ascii="宋体" w:hAnsi="宋体"/>
        </w:rPr>
        <w:t xml:space="preserve">     </w:t>
      </w:r>
      <w:r>
        <w:rPr>
          <w:rFonts w:hint="eastAsia" w:ascii="宋体" w:hAnsi="宋体"/>
        </w:rPr>
        <w:t>期：</w:t>
      </w:r>
      <w:r>
        <w:rPr>
          <w:rFonts w:ascii="宋体" w:hAnsi="宋体"/>
        </w:rPr>
        <w:t xml:space="preserve">                     </w:t>
      </w: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pStyle w:val="16"/>
        <w:rPr>
          <w:rFonts w:ascii="宋体"/>
          <w:b/>
          <w:sz w:val="24"/>
        </w:rPr>
      </w:pPr>
    </w:p>
    <w:p/>
    <w:p>
      <w:pPr>
        <w:spacing w:line="360" w:lineRule="auto"/>
        <w:jc w:val="center"/>
        <w:outlineLvl w:val="1"/>
        <w:rPr>
          <w:b/>
          <w:bCs/>
          <w:sz w:val="24"/>
        </w:rPr>
      </w:pPr>
      <w:bookmarkStart w:id="302" w:name="_Toc24611"/>
      <w:bookmarkStart w:id="303" w:name="_Toc19732"/>
      <w:bookmarkStart w:id="304" w:name="_Toc19532"/>
      <w:r>
        <w:rPr>
          <w:rFonts w:hint="eastAsia"/>
          <w:b/>
          <w:bCs/>
          <w:sz w:val="24"/>
          <w:lang w:val="en-US" w:eastAsia="zh-CN"/>
        </w:rPr>
        <w:t>4-4</w:t>
      </w:r>
      <w:r>
        <w:rPr>
          <w:rFonts w:hint="eastAsia"/>
          <w:b/>
          <w:bCs/>
          <w:sz w:val="24"/>
        </w:rPr>
        <w:t>信用记录查询结果</w:t>
      </w:r>
      <w:bookmarkEnd w:id="302"/>
      <w:bookmarkEnd w:id="303"/>
      <w:bookmarkEnd w:id="304"/>
    </w:p>
    <w:p>
      <w:pPr>
        <w:spacing w:line="360" w:lineRule="auto"/>
        <w:ind w:firstLine="480" w:firstLineChars="200"/>
        <w:rPr>
          <w:rFonts w:ascii="宋体"/>
          <w:sz w:val="24"/>
          <w:u w:val="single"/>
        </w:rPr>
      </w:pPr>
    </w:p>
    <w:p>
      <w:pPr>
        <w:pStyle w:val="26"/>
        <w:spacing w:before="75" w:beforeAutospacing="0" w:after="75" w:afterAutospacing="0" w:line="435" w:lineRule="atLeast"/>
        <w:rPr>
          <w:sz w:val="27"/>
          <w:szCs w:val="27"/>
        </w:rPr>
      </w:pPr>
      <w:r>
        <w:rPr>
          <w:rFonts w:hint="eastAsia"/>
        </w:rPr>
        <w:t>致：</w:t>
      </w:r>
      <w:r>
        <w:t>(</w:t>
      </w:r>
      <w:r>
        <w:rPr>
          <w:rFonts w:hint="eastAsia"/>
        </w:rPr>
        <w:t>采购人或采购代理机构</w:t>
      </w:r>
      <w:r>
        <w:t>)     </w:t>
      </w:r>
    </w:p>
    <w:p>
      <w:pPr>
        <w:pStyle w:val="26"/>
        <w:spacing w:before="75" w:beforeAutospacing="0" w:after="75" w:afterAutospacing="0" w:line="435" w:lineRule="atLeast"/>
        <w:ind w:firstLine="480"/>
        <w:rPr>
          <w:sz w:val="27"/>
          <w:szCs w:val="27"/>
        </w:rPr>
      </w:pPr>
      <w:r>
        <w:rPr>
          <w:rFonts w:hint="eastAsia"/>
        </w:rPr>
        <w:t>现附上截至</w:t>
      </w:r>
      <w:r>
        <w:t>   </w:t>
      </w:r>
      <w:r>
        <w:rPr>
          <w:rFonts w:hint="eastAsia"/>
        </w:rPr>
        <w:t>年</w:t>
      </w:r>
      <w:r>
        <w:t>   </w:t>
      </w:r>
      <w:r>
        <w:rPr>
          <w:rFonts w:hint="eastAsia"/>
        </w:rPr>
        <w:t>月</w:t>
      </w:r>
      <w:r>
        <w:t>   </w:t>
      </w:r>
      <w:r>
        <w:rPr>
          <w:rFonts w:hint="eastAsia"/>
        </w:rPr>
        <w:t>日</w:t>
      </w:r>
      <w:r>
        <w:t>   </w:t>
      </w:r>
      <w:r>
        <w:rPr>
          <w:rFonts w:hint="eastAsia"/>
        </w:rPr>
        <w:t>时我方通过“信用中国”网站（</w:t>
      </w:r>
      <w:r>
        <w:t>www.creditchina.gov.cn</w:t>
      </w:r>
      <w:r>
        <w:rPr>
          <w:rFonts w:hint="eastAsia"/>
        </w:rPr>
        <w:t>）获取的我方信用信息查询结果（填写具体份数）份，上述信用信息查询结果真实有效，否则我方负全部责任。</w:t>
      </w:r>
    </w:p>
    <w:p>
      <w:pPr>
        <w:spacing w:line="360" w:lineRule="auto"/>
        <w:jc w:val="center"/>
        <w:rPr>
          <w:rFonts w:ascii="宋体"/>
          <w:sz w:val="72"/>
        </w:rPr>
      </w:pPr>
    </w:p>
    <w:p>
      <w:pPr>
        <w:spacing w:line="360" w:lineRule="auto"/>
        <w:jc w:val="center"/>
        <w:rPr>
          <w:rFonts w:ascii="宋体"/>
          <w:sz w:val="72"/>
        </w:rPr>
      </w:pPr>
    </w:p>
    <w:p>
      <w:pPr>
        <w:spacing w:line="360" w:lineRule="auto"/>
        <w:ind w:firstLine="480" w:firstLineChars="200"/>
        <w:jc w:val="left"/>
        <w:rPr>
          <w:rFonts w:ascii="宋体"/>
          <w:sz w:val="24"/>
        </w:rPr>
      </w:pPr>
      <w:r>
        <w:rPr>
          <w:rFonts w:hint="eastAsia" w:ascii="宋体" w:hAnsi="宋体"/>
          <w:sz w:val="24"/>
        </w:rPr>
        <w:t>供应商名称（加盖公章）：</w:t>
      </w:r>
    </w:p>
    <w:p>
      <w:pPr>
        <w:spacing w:line="360" w:lineRule="auto"/>
        <w:ind w:firstLine="480" w:firstLineChars="200"/>
        <w:jc w:val="left"/>
        <w:rPr>
          <w:rFonts w:ascii="宋体"/>
          <w:sz w:val="24"/>
        </w:rPr>
      </w:pPr>
      <w:r>
        <w:rPr>
          <w:rFonts w:hint="eastAsia" w:ascii="宋体" w:hAnsi="宋体"/>
          <w:sz w:val="24"/>
        </w:rPr>
        <w:t>供应商代表签字或盖章：</w:t>
      </w:r>
    </w:p>
    <w:p>
      <w:pPr>
        <w:pStyle w:val="26"/>
        <w:spacing w:before="75" w:beforeAutospacing="0" w:after="75" w:afterAutospacing="0" w:line="435" w:lineRule="atLeast"/>
        <w:ind w:firstLine="480" w:firstLineChars="200"/>
        <w:rPr>
          <w:sz w:val="27"/>
          <w:szCs w:val="27"/>
        </w:rPr>
      </w:pPr>
      <w:r>
        <w:rPr>
          <w:rFonts w:hint="eastAsia"/>
        </w:rPr>
        <w:t>日</w:t>
      </w:r>
      <w:r>
        <w:t xml:space="preserve">    </w:t>
      </w:r>
      <w:r>
        <w:rPr>
          <w:rFonts w:hint="eastAsia"/>
        </w:rPr>
        <w:t>期：</w:t>
      </w:r>
    </w:p>
    <w:p>
      <w:pPr>
        <w:rPr>
          <w:rFonts w:ascii="宋体"/>
        </w:rPr>
      </w:pPr>
    </w:p>
    <w:p>
      <w:pPr>
        <w:rPr>
          <w:rFonts w:ascii="宋体"/>
        </w:rPr>
      </w:pPr>
    </w:p>
    <w:p>
      <w:pPr>
        <w:spacing w:line="360" w:lineRule="auto"/>
        <w:ind w:firstLine="723" w:firstLineChars="200"/>
        <w:jc w:val="center"/>
        <w:rPr>
          <w:rFonts w:ascii="宋体"/>
          <w:b/>
          <w:sz w:val="36"/>
        </w:rPr>
      </w:pPr>
    </w:p>
    <w:p>
      <w:pPr>
        <w:spacing w:line="360" w:lineRule="auto"/>
        <w:ind w:firstLine="480" w:firstLineChars="200"/>
        <w:rPr>
          <w:rFonts w:ascii="宋体"/>
          <w:sz w:val="24"/>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spacing w:line="360" w:lineRule="auto"/>
        <w:ind w:firstLine="723" w:firstLineChars="200"/>
        <w:jc w:val="center"/>
        <w:rPr>
          <w:rFonts w:ascii="宋体"/>
          <w:b/>
          <w:sz w:val="36"/>
        </w:rPr>
      </w:pPr>
    </w:p>
    <w:p>
      <w:pPr>
        <w:pStyle w:val="91"/>
        <w:jc w:val="center"/>
        <w:rPr>
          <w:rFonts w:hint="default" w:hAnsi="宋体"/>
          <w:lang w:val="en-US"/>
        </w:rPr>
      </w:pPr>
      <w:bookmarkStart w:id="305" w:name="_Toc12328"/>
      <w:bookmarkStart w:id="306" w:name="_Toc11486"/>
      <w:bookmarkStart w:id="307" w:name="_Toc8280"/>
      <w:bookmarkStart w:id="308" w:name="_Toc24620"/>
      <w:r>
        <w:rPr>
          <w:rFonts w:hint="eastAsia"/>
          <w:b/>
          <w:bCs/>
          <w:sz w:val="24"/>
          <w:szCs w:val="24"/>
          <w:lang w:val="en-US" w:eastAsia="zh-CN"/>
        </w:rPr>
        <w:t>5、</w:t>
      </w:r>
      <w:bookmarkEnd w:id="305"/>
      <w:bookmarkEnd w:id="306"/>
      <w:bookmarkEnd w:id="307"/>
      <w:bookmarkEnd w:id="308"/>
      <w:r>
        <w:rPr>
          <w:rFonts w:hint="eastAsia"/>
          <w:b/>
          <w:bCs/>
          <w:sz w:val="24"/>
          <w:szCs w:val="24"/>
        </w:rPr>
        <w:t>技术和服务要求响应承诺书</w:t>
      </w:r>
    </w:p>
    <w:p>
      <w:pPr>
        <w:pStyle w:val="91"/>
        <w:spacing w:line="360" w:lineRule="auto"/>
        <w:jc w:val="center"/>
        <w:rPr>
          <w:rFonts w:hAnsi="宋体"/>
          <w:b/>
          <w:sz w:val="36"/>
        </w:rPr>
      </w:pPr>
    </w:p>
    <w:p>
      <w:pPr>
        <w:spacing w:line="380" w:lineRule="exact"/>
        <w:rPr>
          <w:rFonts w:ascii="宋体"/>
          <w:sz w:val="24"/>
        </w:rPr>
      </w:pPr>
      <w:r>
        <w:rPr>
          <w:rFonts w:hint="eastAsia" w:ascii="宋体" w:hAnsi="宋体"/>
          <w:sz w:val="24"/>
        </w:rPr>
        <w:t>投标人名称（全称并加盖公章）：</w:t>
      </w:r>
      <w:r>
        <w:rPr>
          <w:rFonts w:ascii="宋体" w:hAnsi="宋体"/>
          <w:sz w:val="24"/>
        </w:rPr>
        <w:t xml:space="preserve">                         </w:t>
      </w:r>
      <w:r>
        <w:rPr>
          <w:rFonts w:hint="eastAsia" w:ascii="宋体" w:hAnsi="宋体"/>
          <w:sz w:val="24"/>
        </w:rPr>
        <w:t>采购编号∶</w:t>
      </w:r>
      <w:r>
        <w:rPr>
          <w:rFonts w:ascii="宋体"/>
          <w:sz w:val="24"/>
        </w:rPr>
        <w:tab/>
      </w:r>
    </w:p>
    <w:p>
      <w:pPr>
        <w:spacing w:line="380" w:lineRule="exact"/>
        <w:rPr>
          <w:rFonts w:ascii="宋体"/>
          <w:b w:val="0"/>
          <w:bCs/>
          <w:sz w:val="24"/>
        </w:rPr>
      </w:pPr>
      <w:r>
        <w:rPr>
          <w:rFonts w:hint="eastAsia" w:ascii="宋体" w:hAnsi="宋体"/>
          <w:b w:val="0"/>
          <w:bCs/>
          <w:sz w:val="24"/>
          <w:lang w:val="en-US" w:eastAsia="zh-CN"/>
        </w:rPr>
        <w:t>合同</w:t>
      </w:r>
      <w:r>
        <w:rPr>
          <w:rFonts w:hint="eastAsia" w:ascii="宋体" w:hAnsi="宋体"/>
          <w:b w:val="0"/>
          <w:bCs/>
          <w:sz w:val="24"/>
        </w:rPr>
        <w:t>号：</w:t>
      </w:r>
    </w:p>
    <w:p>
      <w:pPr>
        <w:pStyle w:val="91"/>
        <w:spacing w:line="360" w:lineRule="auto"/>
        <w:jc w:val="center"/>
        <w:rPr>
          <w:rFonts w:hAnsi="宋体"/>
          <w:b/>
          <w:sz w:val="36"/>
        </w:rPr>
      </w:pPr>
    </w:p>
    <w:p>
      <w:pPr>
        <w:spacing w:line="360" w:lineRule="auto"/>
        <w:ind w:firstLine="480" w:firstLineChars="200"/>
        <w:rPr>
          <w:rFonts w:ascii="宋体"/>
          <w:sz w:val="24"/>
        </w:rPr>
      </w:pPr>
      <w:r>
        <w:rPr>
          <w:rFonts w:hint="eastAsia" w:ascii="宋体" w:hAnsi="宋体"/>
          <w:sz w:val="24"/>
        </w:rPr>
        <w:t>我司现就</w:t>
      </w:r>
      <w:r>
        <w:rPr>
          <w:rFonts w:ascii="宋体" w:hAnsi="宋体"/>
          <w:sz w:val="24"/>
          <w:u w:val="single"/>
        </w:rPr>
        <w:t xml:space="preserve">         </w:t>
      </w:r>
      <w:r>
        <w:rPr>
          <w:rFonts w:hint="eastAsia" w:ascii="宋体" w:hAnsi="宋体"/>
          <w:sz w:val="24"/>
        </w:rPr>
        <w:t>项目的询价内容及要求作出如下承诺：</w:t>
      </w:r>
    </w:p>
    <w:p>
      <w:pPr>
        <w:spacing w:line="360" w:lineRule="auto"/>
        <w:ind w:firstLine="480" w:firstLineChars="200"/>
        <w:rPr>
          <w:rFonts w:ascii="宋体" w:cs="宋体"/>
          <w:b/>
          <w:sz w:val="24"/>
          <w:u w:val="single"/>
        </w:rPr>
      </w:pPr>
      <w:r>
        <w:rPr>
          <w:rFonts w:ascii="宋体" w:hAnsi="宋体"/>
          <w:sz w:val="24"/>
        </w:rPr>
        <w:t>1</w:t>
      </w:r>
      <w:r>
        <w:rPr>
          <w:rFonts w:hint="eastAsia" w:ascii="宋体" w:hAnsi="宋体"/>
          <w:sz w:val="24"/>
        </w:rPr>
        <w:t>、</w:t>
      </w:r>
      <w:r>
        <w:rPr>
          <w:rFonts w:hint="eastAsia" w:ascii="宋体" w:hAnsi="宋体"/>
          <w:b/>
          <w:sz w:val="24"/>
        </w:rPr>
        <w:t>完全</w:t>
      </w:r>
      <w:r>
        <w:rPr>
          <w:rFonts w:hint="eastAsia" w:hAnsi="宋体"/>
          <w:b/>
          <w:bCs/>
          <w:sz w:val="24"/>
        </w:rPr>
        <w:t>实质性</w:t>
      </w:r>
      <w:r>
        <w:rPr>
          <w:rFonts w:hint="eastAsia" w:ascii="宋体" w:hAnsi="宋体"/>
          <w:b/>
          <w:bCs/>
          <w:sz w:val="24"/>
        </w:rPr>
        <w:t>满足</w:t>
      </w:r>
      <w:r>
        <w:rPr>
          <w:rFonts w:hint="eastAsia" w:hAnsi="宋体"/>
          <w:b/>
          <w:bCs/>
          <w:sz w:val="24"/>
        </w:rPr>
        <w:t>《</w:t>
      </w:r>
      <w:r>
        <w:rPr>
          <w:rFonts w:hint="eastAsia" w:ascii="宋体" w:hAnsi="宋体"/>
          <w:b/>
          <w:bCs/>
          <w:sz w:val="24"/>
        </w:rPr>
        <w:t>第三章</w:t>
      </w:r>
      <w:r>
        <w:rPr>
          <w:rFonts w:ascii="宋体" w:hAnsi="宋体"/>
          <w:b/>
          <w:bCs/>
          <w:sz w:val="24"/>
        </w:rPr>
        <w:t xml:space="preserve">  </w:t>
      </w:r>
      <w:r>
        <w:rPr>
          <w:rFonts w:hint="eastAsia" w:ascii="宋体" w:hAnsi="宋体"/>
          <w:b/>
          <w:bCs/>
          <w:sz w:val="24"/>
        </w:rPr>
        <w:t>询价内容及要求</w:t>
      </w:r>
      <w:r>
        <w:rPr>
          <w:rFonts w:hint="eastAsia" w:hAnsi="宋体"/>
          <w:b/>
          <w:bCs/>
          <w:sz w:val="24"/>
        </w:rPr>
        <w:t>》</w:t>
      </w:r>
      <w:r>
        <w:rPr>
          <w:rFonts w:hint="eastAsia" w:ascii="宋体" w:hAnsi="宋体"/>
          <w:b/>
          <w:bCs/>
          <w:sz w:val="24"/>
        </w:rPr>
        <w:t>的</w:t>
      </w:r>
      <w:r>
        <w:rPr>
          <w:rFonts w:hint="eastAsia" w:hAnsi="宋体"/>
          <w:b/>
          <w:bCs/>
          <w:sz w:val="24"/>
        </w:rPr>
        <w:t>“</w:t>
      </w:r>
      <w:r>
        <w:rPr>
          <w:rFonts w:hint="eastAsia" w:ascii="宋体" w:hAnsi="宋体"/>
          <w:b/>
          <w:bCs/>
          <w:sz w:val="24"/>
          <w:szCs w:val="20"/>
        </w:rPr>
        <w:t>二、</w:t>
      </w:r>
      <w:r>
        <w:rPr>
          <w:rFonts w:hint="eastAsia"/>
          <w:b/>
          <w:bCs/>
          <w:sz w:val="24"/>
        </w:rPr>
        <w:t>技术和参数要求</w:t>
      </w:r>
      <w:r>
        <w:rPr>
          <w:rFonts w:hint="eastAsia" w:hAnsi="宋体"/>
          <w:b/>
          <w:bCs/>
          <w:sz w:val="24"/>
        </w:rPr>
        <w:t>”</w:t>
      </w:r>
      <w:r>
        <w:rPr>
          <w:rFonts w:hint="eastAsia" w:ascii="宋体" w:hAnsi="宋体"/>
          <w:b/>
          <w:bCs/>
          <w:sz w:val="24"/>
        </w:rPr>
        <w:t>所有要求</w:t>
      </w:r>
      <w:r>
        <w:rPr>
          <w:rFonts w:hint="eastAsia" w:ascii="宋体" w:hAnsi="宋体" w:cs="宋体"/>
          <w:b/>
          <w:sz w:val="24"/>
        </w:rPr>
        <w:t>。</w:t>
      </w:r>
    </w:p>
    <w:p>
      <w:pPr>
        <w:spacing w:line="360" w:lineRule="auto"/>
        <w:ind w:right="561" w:firstLine="480" w:firstLineChars="200"/>
        <w:rPr>
          <w:rFonts w:ascii="宋体"/>
          <w:b/>
          <w:sz w:val="24"/>
        </w:rPr>
      </w:pPr>
      <w:r>
        <w:rPr>
          <w:rFonts w:ascii="宋体" w:hAnsi="宋体"/>
          <w:sz w:val="24"/>
        </w:rPr>
        <w:t>2</w:t>
      </w:r>
      <w:r>
        <w:rPr>
          <w:rFonts w:hint="eastAsia" w:ascii="宋体" w:hAnsi="宋体"/>
          <w:sz w:val="24"/>
        </w:rPr>
        <w:t>、</w:t>
      </w:r>
      <w:r>
        <w:rPr>
          <w:rFonts w:hint="eastAsia" w:ascii="宋体"/>
          <w:b/>
          <w:bCs/>
          <w:sz w:val="24"/>
          <w:lang w:val="en-US" w:eastAsia="zh-CN"/>
        </w:rPr>
        <w:t>技术参数及要求的相关证明材料。</w:t>
      </w:r>
    </w:p>
    <w:p>
      <w:pPr>
        <w:spacing w:line="360" w:lineRule="auto"/>
        <w:ind w:firstLine="482" w:firstLineChars="200"/>
        <w:rPr>
          <w:rFonts w:hint="default" w:ascii="宋体" w:eastAsia="宋体"/>
          <w:b/>
          <w:bCs/>
          <w:sz w:val="24"/>
          <w:lang w:val="en-US" w:eastAsia="zh-CN"/>
        </w:rPr>
      </w:pPr>
      <w:r>
        <w:rPr>
          <w:rFonts w:hint="eastAsia" w:ascii="宋体"/>
          <w:b/>
          <w:bCs/>
          <w:sz w:val="24"/>
          <w:lang w:val="en-US" w:eastAsia="zh-CN"/>
        </w:rPr>
        <w:t>3、</w:t>
      </w:r>
      <w:r>
        <w:rPr>
          <w:rFonts w:hint="eastAsia" w:ascii="宋体" w:hAnsi="宋体"/>
          <w:sz w:val="24"/>
        </w:rPr>
        <w:t>如若成交，将完全执行以上承诺。</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80" w:lineRule="exact"/>
        <w:rPr>
          <w:rFonts w:ascii="宋体"/>
          <w:sz w:val="24"/>
        </w:rPr>
      </w:pPr>
      <w:r>
        <w:rPr>
          <w:rFonts w:hint="eastAsia" w:ascii="宋体" w:hAnsi="宋体"/>
          <w:sz w:val="24"/>
        </w:rPr>
        <w:t>供应商（全称并加盖公章）：</w:t>
      </w:r>
    </w:p>
    <w:p>
      <w:pPr>
        <w:spacing w:line="380" w:lineRule="exact"/>
        <w:rPr>
          <w:rFonts w:ascii="宋体"/>
          <w:sz w:val="24"/>
        </w:rPr>
      </w:pPr>
      <w:r>
        <w:rPr>
          <w:rFonts w:hint="eastAsia" w:ascii="宋体" w:hAnsi="宋体"/>
          <w:sz w:val="24"/>
        </w:rPr>
        <w:t>供应商代表签字：</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center"/>
        <w:outlineLvl w:val="9"/>
        <w:rPr>
          <w:rFonts w:hAnsi="宋体"/>
          <w:b/>
          <w:sz w:val="36"/>
        </w:rPr>
      </w:pPr>
    </w:p>
    <w:p>
      <w:pPr>
        <w:pStyle w:val="91"/>
        <w:spacing w:line="360" w:lineRule="auto"/>
        <w:jc w:val="center"/>
        <w:rPr>
          <w:rFonts w:hAnsi="宋体"/>
          <w:b/>
          <w:sz w:val="36"/>
        </w:rPr>
      </w:pPr>
      <w:bookmarkStart w:id="309" w:name="_Toc10601"/>
      <w:bookmarkStart w:id="310" w:name="_Toc2468"/>
      <w:bookmarkStart w:id="311" w:name="_Toc4170"/>
      <w:bookmarkStart w:id="312" w:name="_Toc3644"/>
      <w:r>
        <w:rPr>
          <w:rFonts w:hint="eastAsia"/>
          <w:b/>
          <w:bCs/>
          <w:sz w:val="24"/>
          <w:szCs w:val="24"/>
          <w:lang w:val="en-US" w:eastAsia="zh-CN"/>
        </w:rPr>
        <w:t>6、</w:t>
      </w:r>
      <w:r>
        <w:rPr>
          <w:rFonts w:hint="eastAsia"/>
          <w:b/>
          <w:bCs/>
          <w:sz w:val="24"/>
          <w:szCs w:val="24"/>
        </w:rPr>
        <w:t>采购内容及要求的承诺书</w:t>
      </w:r>
      <w:bookmarkEnd w:id="309"/>
      <w:bookmarkEnd w:id="310"/>
      <w:bookmarkEnd w:id="311"/>
      <w:bookmarkEnd w:id="312"/>
    </w:p>
    <w:p>
      <w:pPr>
        <w:spacing w:line="360" w:lineRule="auto"/>
        <w:ind w:firstLine="480" w:firstLineChars="200"/>
        <w:rPr>
          <w:rFonts w:ascii="宋体"/>
          <w:sz w:val="24"/>
        </w:rPr>
      </w:pPr>
      <w:bookmarkStart w:id="313" w:name="_Toc28518"/>
      <w:r>
        <w:rPr>
          <w:rFonts w:hint="eastAsia" w:ascii="宋体" w:hAnsi="宋体"/>
          <w:sz w:val="24"/>
        </w:rPr>
        <w:t>询价供应商名称：</w:t>
      </w:r>
      <w:r>
        <w:rPr>
          <w:rFonts w:ascii="宋体" w:hAnsi="宋体"/>
          <w:sz w:val="24"/>
        </w:rPr>
        <w:t xml:space="preserve">      </w:t>
      </w:r>
      <w:r>
        <w:rPr>
          <w:rFonts w:hint="eastAsia" w:ascii="宋体" w:hAnsi="宋体"/>
          <w:sz w:val="24"/>
        </w:rPr>
        <w:t>采购编号∶</w:t>
      </w:r>
      <w:r>
        <w:rPr>
          <w:rFonts w:ascii="宋体"/>
          <w:sz w:val="24"/>
        </w:rPr>
        <w:tab/>
      </w:r>
      <w:r>
        <w:rPr>
          <w:rFonts w:ascii="宋体" w:hAnsi="宋体"/>
          <w:sz w:val="24"/>
        </w:rPr>
        <w:t xml:space="preserve">     </w:t>
      </w:r>
      <w:r>
        <w:rPr>
          <w:rFonts w:hint="eastAsia" w:ascii="宋体" w:hAnsi="宋体"/>
          <w:sz w:val="24"/>
          <w:lang w:val="en-US" w:eastAsia="zh-CN"/>
        </w:rPr>
        <w:t>合同</w:t>
      </w:r>
      <w:r>
        <w:rPr>
          <w:rFonts w:hint="eastAsia" w:ascii="宋体" w:hAnsi="宋体"/>
          <w:sz w:val="24"/>
        </w:rPr>
        <w:t>号：</w:t>
      </w:r>
      <w:bookmarkEnd w:id="313"/>
    </w:p>
    <w:p>
      <w:pPr>
        <w:spacing w:line="360" w:lineRule="auto"/>
        <w:ind w:firstLine="480" w:firstLineChars="200"/>
        <w:rPr>
          <w:rFonts w:hint="eastAsia" w:ascii="宋体" w:hAnsi="宋体"/>
          <w:sz w:val="24"/>
        </w:rPr>
      </w:pPr>
    </w:p>
    <w:p>
      <w:pPr>
        <w:spacing w:line="360" w:lineRule="auto"/>
        <w:ind w:firstLine="480" w:firstLineChars="200"/>
        <w:rPr>
          <w:rFonts w:ascii="宋体"/>
          <w:sz w:val="24"/>
        </w:rPr>
      </w:pPr>
      <w:r>
        <w:rPr>
          <w:rFonts w:hint="eastAsia" w:ascii="宋体" w:hAnsi="宋体"/>
          <w:sz w:val="24"/>
        </w:rPr>
        <w:t>我司现就</w:t>
      </w:r>
      <w:r>
        <w:rPr>
          <w:rFonts w:ascii="宋体" w:hAnsi="宋体"/>
          <w:sz w:val="24"/>
          <w:u w:val="single"/>
        </w:rPr>
        <w:t xml:space="preserve">         </w:t>
      </w:r>
      <w:r>
        <w:rPr>
          <w:rFonts w:hint="eastAsia" w:ascii="宋体" w:hAnsi="宋体"/>
          <w:sz w:val="24"/>
        </w:rPr>
        <w:t>项目的询价内容及要求作出如下承诺：</w:t>
      </w:r>
    </w:p>
    <w:p>
      <w:pPr>
        <w:spacing w:line="360" w:lineRule="auto"/>
        <w:ind w:firstLine="480" w:firstLineChars="200"/>
        <w:rPr>
          <w:rFonts w:ascii="宋体" w:cs="宋体"/>
          <w:b/>
          <w:sz w:val="24"/>
          <w:u w:val="single"/>
        </w:rPr>
      </w:pPr>
      <w:r>
        <w:rPr>
          <w:rFonts w:ascii="宋体" w:hAnsi="宋体"/>
          <w:sz w:val="24"/>
        </w:rPr>
        <w:t>1</w:t>
      </w:r>
      <w:r>
        <w:rPr>
          <w:rFonts w:hint="eastAsia" w:ascii="宋体" w:hAnsi="宋体"/>
          <w:sz w:val="24"/>
        </w:rPr>
        <w:t>、</w:t>
      </w:r>
      <w:r>
        <w:rPr>
          <w:rFonts w:hint="eastAsia" w:ascii="宋体" w:hAnsi="宋体"/>
          <w:b/>
          <w:sz w:val="24"/>
        </w:rPr>
        <w:t>完全</w:t>
      </w:r>
      <w:r>
        <w:rPr>
          <w:rFonts w:hint="eastAsia" w:hAnsi="宋体"/>
          <w:b/>
          <w:bCs/>
          <w:sz w:val="24"/>
        </w:rPr>
        <w:t>实质性</w:t>
      </w:r>
      <w:r>
        <w:rPr>
          <w:rFonts w:hint="eastAsia" w:ascii="宋体" w:hAnsi="宋体"/>
          <w:b/>
          <w:bCs/>
          <w:sz w:val="24"/>
        </w:rPr>
        <w:t>满足</w:t>
      </w:r>
      <w:r>
        <w:rPr>
          <w:rFonts w:hint="eastAsia" w:hAnsi="宋体"/>
          <w:b/>
          <w:bCs/>
          <w:sz w:val="24"/>
        </w:rPr>
        <w:t>《</w:t>
      </w:r>
      <w:r>
        <w:rPr>
          <w:rFonts w:hint="eastAsia" w:ascii="宋体" w:hAnsi="宋体"/>
          <w:b/>
          <w:bCs/>
          <w:sz w:val="24"/>
        </w:rPr>
        <w:t>第三章</w:t>
      </w:r>
      <w:r>
        <w:rPr>
          <w:rFonts w:ascii="宋体" w:hAnsi="宋体"/>
          <w:b/>
          <w:bCs/>
          <w:sz w:val="24"/>
        </w:rPr>
        <w:t xml:space="preserve">  </w:t>
      </w:r>
      <w:r>
        <w:rPr>
          <w:rFonts w:hint="eastAsia" w:ascii="宋体" w:hAnsi="宋体"/>
          <w:b/>
          <w:bCs/>
          <w:sz w:val="24"/>
        </w:rPr>
        <w:t>询价内容及要求</w:t>
      </w:r>
      <w:r>
        <w:rPr>
          <w:rFonts w:hint="eastAsia" w:hAnsi="宋体"/>
          <w:b/>
          <w:bCs/>
          <w:sz w:val="24"/>
        </w:rPr>
        <w:t>》</w:t>
      </w:r>
      <w:r>
        <w:rPr>
          <w:rFonts w:hint="eastAsia" w:ascii="宋体" w:hAnsi="宋体"/>
          <w:b/>
          <w:bCs/>
          <w:sz w:val="24"/>
        </w:rPr>
        <w:t>的</w:t>
      </w:r>
      <w:r>
        <w:rPr>
          <w:rFonts w:hint="eastAsia" w:hAnsi="宋体"/>
          <w:b/>
          <w:bCs/>
          <w:sz w:val="24"/>
        </w:rPr>
        <w:t>“</w:t>
      </w:r>
      <w:r>
        <w:rPr>
          <w:rFonts w:hint="eastAsia" w:ascii="宋体" w:hAnsi="宋体"/>
          <w:b/>
          <w:bCs/>
          <w:sz w:val="24"/>
          <w:szCs w:val="20"/>
        </w:rPr>
        <w:t>三、商务条件</w:t>
      </w:r>
      <w:r>
        <w:rPr>
          <w:rFonts w:hint="eastAsia" w:hAnsi="宋体"/>
          <w:b/>
          <w:bCs/>
          <w:sz w:val="24"/>
        </w:rPr>
        <w:t>”</w:t>
      </w:r>
      <w:r>
        <w:rPr>
          <w:rFonts w:hint="eastAsia" w:ascii="宋体" w:hAnsi="宋体"/>
          <w:b/>
          <w:bCs/>
          <w:sz w:val="24"/>
        </w:rPr>
        <w:t>所有要求</w:t>
      </w:r>
      <w:r>
        <w:rPr>
          <w:rFonts w:hint="eastAsia" w:ascii="宋体" w:hAnsi="宋体" w:cs="宋体"/>
          <w:b/>
          <w:sz w:val="24"/>
        </w:rPr>
        <w:t>。</w:t>
      </w:r>
    </w:p>
    <w:p>
      <w:pPr>
        <w:spacing w:line="360" w:lineRule="auto"/>
        <w:ind w:right="561" w:firstLine="480" w:firstLineChars="200"/>
        <w:rPr>
          <w:rFonts w:ascii="宋体"/>
          <w:b/>
          <w:sz w:val="24"/>
        </w:rPr>
      </w:pPr>
      <w:r>
        <w:rPr>
          <w:rFonts w:ascii="宋体" w:hAnsi="宋体"/>
          <w:sz w:val="24"/>
        </w:rPr>
        <w:t>2</w:t>
      </w:r>
      <w:r>
        <w:rPr>
          <w:rFonts w:hint="eastAsia" w:ascii="宋体" w:hAnsi="宋体"/>
          <w:sz w:val="24"/>
        </w:rPr>
        <w:t>、如若成交，将完全执行以上承诺。</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80" w:lineRule="exact"/>
        <w:rPr>
          <w:rFonts w:ascii="宋体"/>
          <w:sz w:val="24"/>
        </w:rPr>
      </w:pPr>
      <w:r>
        <w:rPr>
          <w:rFonts w:hint="eastAsia" w:ascii="宋体" w:hAnsi="宋体"/>
          <w:sz w:val="24"/>
        </w:rPr>
        <w:t>供应商（全称并加盖公章）：</w:t>
      </w:r>
    </w:p>
    <w:p>
      <w:pPr>
        <w:spacing w:line="380" w:lineRule="exact"/>
        <w:rPr>
          <w:rFonts w:ascii="宋体"/>
          <w:sz w:val="24"/>
        </w:rPr>
      </w:pPr>
      <w:r>
        <w:rPr>
          <w:rFonts w:hint="eastAsia" w:ascii="宋体" w:hAnsi="宋体"/>
          <w:sz w:val="24"/>
        </w:rPr>
        <w:t>供应商代表签字：</w:t>
      </w: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pStyle w:val="2"/>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jc w:val="center"/>
        <w:outlineLvl w:val="0"/>
        <w:rPr>
          <w:b/>
          <w:bCs/>
          <w:sz w:val="32"/>
          <w:szCs w:val="32"/>
        </w:rPr>
      </w:pPr>
      <w:bookmarkStart w:id="314" w:name="_Toc143"/>
      <w:bookmarkStart w:id="315" w:name="_Toc10802"/>
      <w:bookmarkStart w:id="316" w:name="_Toc11851"/>
      <w:r>
        <w:rPr>
          <w:rFonts w:hint="eastAsia"/>
          <w:b/>
          <w:bCs/>
          <w:sz w:val="32"/>
          <w:szCs w:val="32"/>
          <w:lang w:val="en-US" w:eastAsia="zh-CN"/>
        </w:rPr>
        <w:t>7、</w:t>
      </w:r>
      <w:r>
        <w:rPr>
          <w:rFonts w:hint="eastAsia"/>
          <w:b/>
          <w:bCs/>
          <w:sz w:val="32"/>
          <w:szCs w:val="32"/>
        </w:rPr>
        <w:t>提交的其它资料</w:t>
      </w:r>
      <w:bookmarkEnd w:id="314"/>
      <w:bookmarkEnd w:id="315"/>
      <w:bookmarkEnd w:id="316"/>
    </w:p>
    <w:p>
      <w:pPr>
        <w:spacing w:line="360" w:lineRule="auto"/>
        <w:ind w:firstLine="723" w:firstLineChars="200"/>
        <w:rPr>
          <w:rFonts w:ascii="宋体"/>
          <w:b/>
          <w:sz w:val="36"/>
        </w:rPr>
      </w:pPr>
    </w:p>
    <w:p>
      <w:pPr>
        <w:spacing w:line="360" w:lineRule="auto"/>
        <w:ind w:firstLine="480" w:firstLineChars="200"/>
        <w:rPr>
          <w:rFonts w:ascii="宋体"/>
          <w:b/>
          <w:bCs/>
          <w:sz w:val="36"/>
        </w:rPr>
      </w:pPr>
      <w:r>
        <w:rPr>
          <w:rFonts w:hint="eastAsia" w:ascii="宋体" w:hAnsi="宋体"/>
          <w:sz w:val="24"/>
        </w:rPr>
        <w:t>如：货物符合询价通知书的证明材料、企业资信等。</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pStyle w:val="17"/>
        <w:snapToGrid w:val="0"/>
        <w:spacing w:line="360" w:lineRule="auto"/>
        <w:ind w:firstLine="420" w:firstLineChars="200"/>
        <w:jc w:val="left"/>
        <w:rPr>
          <w:rFonts w:hAnsi="宋体"/>
        </w:rPr>
      </w:pPr>
    </w:p>
    <w:p>
      <w:pPr>
        <w:pStyle w:val="17"/>
        <w:snapToGrid w:val="0"/>
        <w:spacing w:line="360" w:lineRule="auto"/>
        <w:ind w:firstLine="420" w:firstLineChars="200"/>
        <w:jc w:val="left"/>
        <w:rPr>
          <w:rFonts w:hAnsi="宋体"/>
        </w:rPr>
      </w:pPr>
    </w:p>
    <w:p>
      <w:pPr>
        <w:pStyle w:val="17"/>
        <w:snapToGrid w:val="0"/>
        <w:spacing w:line="360" w:lineRule="auto"/>
        <w:ind w:firstLine="420" w:firstLineChars="200"/>
        <w:jc w:val="left"/>
        <w:rPr>
          <w:rFonts w:hAnsi="宋体"/>
        </w:rPr>
      </w:pPr>
    </w:p>
    <w:p>
      <w:pPr>
        <w:pStyle w:val="91"/>
        <w:spacing w:line="360" w:lineRule="auto"/>
        <w:ind w:firstLine="480" w:firstLineChars="200"/>
        <w:outlineLvl w:val="9"/>
        <w:rPr>
          <w:rFonts w:hAnsi="宋体"/>
          <w:sz w:val="24"/>
        </w:rPr>
      </w:pPr>
    </w:p>
    <w:p>
      <w:pPr>
        <w:spacing w:line="360" w:lineRule="auto"/>
        <w:ind w:firstLine="560" w:firstLineChars="200"/>
        <w:rPr>
          <w:rFonts w:ascii="宋体"/>
          <w:sz w:val="28"/>
        </w:rPr>
      </w:pPr>
    </w:p>
    <w:p>
      <w:pPr>
        <w:spacing w:line="360" w:lineRule="auto"/>
        <w:ind w:firstLine="560" w:firstLineChars="200"/>
        <w:rPr>
          <w:rFonts w:ascii="宋体"/>
          <w:sz w:val="28"/>
        </w:rPr>
      </w:pPr>
    </w:p>
    <w:p>
      <w:pPr>
        <w:spacing w:line="360" w:lineRule="auto"/>
        <w:ind w:firstLine="560" w:firstLineChars="200"/>
        <w:rPr>
          <w:rFonts w:ascii="宋体"/>
          <w:sz w:val="28"/>
        </w:rPr>
      </w:pPr>
    </w:p>
    <w:p>
      <w:pPr>
        <w:spacing w:line="360" w:lineRule="auto"/>
        <w:ind w:firstLine="560" w:firstLineChars="200"/>
        <w:rPr>
          <w:rFonts w:ascii="宋体"/>
          <w:sz w:val="28"/>
        </w:rPr>
      </w:pPr>
    </w:p>
    <w:p>
      <w:pPr>
        <w:spacing w:line="360" w:lineRule="auto"/>
        <w:ind w:firstLine="720" w:firstLineChars="300"/>
        <w:rPr>
          <w:rFonts w:ascii="宋体"/>
          <w:sz w:val="28"/>
        </w:rPr>
      </w:pPr>
      <w:r>
        <w:rPr>
          <w:rFonts w:hint="eastAsia" w:ascii="宋体" w:hAnsi="宋体"/>
          <w:sz w:val="24"/>
        </w:rPr>
        <w:t>供应商（全称并加盖公章）：</w:t>
      </w:r>
    </w:p>
    <w:p>
      <w:pPr>
        <w:spacing w:line="360" w:lineRule="auto"/>
        <w:ind w:firstLine="480" w:firstLineChars="200"/>
        <w:rPr>
          <w:rFonts w:ascii="宋体"/>
          <w:sz w:val="24"/>
          <w:u w:val="single"/>
        </w:rPr>
      </w:pPr>
      <w:r>
        <w:rPr>
          <w:rFonts w:ascii="宋体" w:hAnsi="宋体"/>
          <w:sz w:val="24"/>
        </w:rPr>
        <w:t xml:space="preserve">  </w:t>
      </w:r>
      <w:r>
        <w:rPr>
          <w:rFonts w:hint="eastAsia" w:ascii="宋体" w:hAnsi="宋体"/>
          <w:sz w:val="24"/>
        </w:rPr>
        <w:t>供应商代表签字或盖章：</w:t>
      </w: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480" w:firstLineChars="200"/>
        <w:rPr>
          <w:rFonts w:ascii="宋体"/>
          <w:sz w:val="24"/>
          <w:u w:val="single"/>
        </w:rPr>
      </w:pPr>
    </w:p>
    <w:p>
      <w:pPr>
        <w:spacing w:line="360" w:lineRule="auto"/>
        <w:ind w:firstLine="723" w:firstLineChars="200"/>
        <w:jc w:val="center"/>
        <w:rPr>
          <w:rFonts w:ascii="宋体"/>
          <w:b/>
          <w:sz w:val="36"/>
          <w:szCs w:val="36"/>
        </w:rPr>
      </w:pPr>
    </w:p>
    <w:p>
      <w:pPr>
        <w:spacing w:line="360" w:lineRule="auto"/>
        <w:ind w:firstLine="723" w:firstLineChars="200"/>
        <w:jc w:val="center"/>
        <w:rPr>
          <w:rFonts w:ascii="宋体"/>
          <w:b/>
          <w:sz w:val="36"/>
          <w:szCs w:val="36"/>
        </w:rPr>
      </w:pPr>
    </w:p>
    <w:p>
      <w:pPr>
        <w:jc w:val="both"/>
      </w:pPr>
    </w:p>
    <w:p>
      <w:pPr>
        <w:spacing w:line="360" w:lineRule="auto"/>
        <w:ind w:left="0" w:firstLine="0" w:firstLineChars="0"/>
        <w:rPr>
          <w:rFonts w:hint="eastAsia" w:asciiTheme="majorEastAsia" w:hAnsiTheme="majorEastAsia" w:eastAsiaTheme="majorEastAsia" w:cstheme="majorEastAsia"/>
          <w:sz w:val="24"/>
        </w:rPr>
      </w:pPr>
    </w:p>
    <w:sectPr>
      <w:pgSz w:w="11906" w:h="16838"/>
      <w:pgMar w:top="1440" w:right="1349" w:bottom="1440" w:left="129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panose1 w:val="02020603050405020304"/>
    <w:charset w:val="00"/>
    <w:family w:val="roman"/>
    <w:pitch w:val="default"/>
    <w:sig w:usb0="00000007" w:usb1="00000000" w:usb2="00000000" w:usb3="00000000" w:csb0="00000093"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嫤疓B2312">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32</w:t>
    </w:r>
    <w:r>
      <w:rPr>
        <w:rStyle w:val="34"/>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1"/>
                          </w:pPr>
                          <w:r>
                            <w:fldChar w:fldCharType="begin"/>
                          </w:r>
                          <w:r>
                            <w:instrText xml:space="preserve"> PAGE  \* MERGEFORMAT </w:instrText>
                          </w:r>
                          <w:r>
                            <w:fldChar w:fldCharType="separate"/>
                          </w:r>
                          <w:r>
                            <w:t>27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WJSK0zgEAAJYDAAAOAAAAAAAAAAEAIAAAAB8BAABkcnMv&#10;ZTJvRG9jLnhtbFBLBQYAAAAABgAGAFkBAABf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27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8"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1"/>
                          </w:pP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PlfknQAAAAAwEAAA8AAAAAAAAAAQAgAAAA&#10;IgAAAGRycy9kb3ducmV2LnhtbFBLAQIUABQAAAAIAIdO4kDZRwQ32gEAALEDAAAOAAAAAAAAAAEA&#10;IAAAAB8BAABkcnMvZTJvRG9jLnhtbFBLBQYAAAAABgAGAFkBAABrBQAAAAA=&#10;">
              <v:fill on="f" focussize="0,0"/>
              <v:stroke on="f"/>
              <v:imagedata o:title=""/>
              <o:lock v:ext="edit" aspectratio="f"/>
              <v:textbox inset="0mm,0mm,0mm,0mm" style="mso-fit-shape-to-text:t;">
                <w:txbxContent>
                  <w:p>
                    <w:pPr>
                      <w:pStyle w:val="21"/>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hd w:val="pct5" w:color="auto" w:fill="auto"/>
      <w:jc w:val="both"/>
      <w:rPr>
        <w:rFonts w:eastAsia="仿宋_GB2312"/>
      </w:rPr>
    </w:pPr>
    <w:r>
      <w:rPr>
        <w:rFonts w:hint="eastAsia" w:eastAsia="仿宋_GB2312"/>
      </w:rPr>
      <w:t>政府采购询价通知书</w:t>
    </w:r>
    <w:r>
      <w:rPr>
        <w:rFonts w:eastAsia="仿宋_GB2312"/>
      </w:rPr>
      <w:t xml:space="preserve">         </w:t>
    </w:r>
    <w:r>
      <w:rPr>
        <w:rFonts w:ascii="仿宋_GB2312" w:eastAsia="仿宋_GB2312"/>
      </w:rPr>
      <w:t xml:space="preserve">                                       2007</w:t>
    </w:r>
    <w:r>
      <w:rPr>
        <w:rFonts w:hint="eastAsia" w:ascii="仿宋_GB2312" w:eastAsia="仿宋_GB2312"/>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hd w:val="pct5" w:color="auto" w:fill="auto"/>
      <w:jc w:val="left"/>
      <w:rPr>
        <w:rFonts w:hint="default"/>
        <w:lang w:val="en-US"/>
      </w:rPr>
    </w:pPr>
    <w:r>
      <w:rPr>
        <w:rFonts w:hint="eastAsia" w:ascii="宋体" w:hAnsi="宋体" w:cs="Times New Roman"/>
        <w:bCs w:val="0"/>
        <w:sz w:val="21"/>
        <w:szCs w:val="21"/>
        <w:lang w:eastAsia="zh-CN"/>
      </w:rPr>
      <w:t>龙岩智发科技智能化设备采购（二）</w:t>
    </w:r>
    <w:r>
      <w:rPr>
        <w:rFonts w:hint="eastAsia"/>
        <w:sz w:val="21"/>
        <w:szCs w:val="21"/>
        <w:lang w:val="en-US" w:eastAsia="zh-CN"/>
      </w:rPr>
      <w:t xml:space="preserve">  </w:t>
    </w:r>
    <w:r>
      <w:rPr>
        <w:rFonts w:hint="eastAsia"/>
        <w:lang w:val="en-US" w:eastAsia="zh-CN"/>
      </w:rPr>
      <w:t xml:space="preserve">                                        询价通知书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B1AC6"/>
    <w:multiLevelType w:val="singleLevel"/>
    <w:tmpl w:val="865B1AC6"/>
    <w:lvl w:ilvl="0" w:tentative="0">
      <w:start w:val="1"/>
      <w:numFmt w:val="decimal"/>
      <w:suff w:val="nothing"/>
      <w:lvlText w:val="（%1）"/>
      <w:lvlJc w:val="left"/>
    </w:lvl>
  </w:abstractNum>
  <w:abstractNum w:abstractNumId="1">
    <w:nsid w:val="A4436E07"/>
    <w:multiLevelType w:val="singleLevel"/>
    <w:tmpl w:val="A4436E07"/>
    <w:lvl w:ilvl="0" w:tentative="0">
      <w:start w:val="1"/>
      <w:numFmt w:val="decimal"/>
      <w:lvlText w:val="%1."/>
      <w:lvlJc w:val="left"/>
      <w:pPr>
        <w:tabs>
          <w:tab w:val="left" w:pos="312"/>
        </w:tabs>
      </w:pPr>
    </w:lvl>
  </w:abstractNum>
  <w:abstractNum w:abstractNumId="2">
    <w:nsid w:val="AC43A25F"/>
    <w:multiLevelType w:val="singleLevel"/>
    <w:tmpl w:val="AC43A25F"/>
    <w:lvl w:ilvl="0" w:tentative="0">
      <w:start w:val="1"/>
      <w:numFmt w:val="decimal"/>
      <w:lvlText w:val="%1."/>
      <w:lvlJc w:val="left"/>
      <w:pPr>
        <w:ind w:left="425" w:hanging="425"/>
      </w:pPr>
      <w:rPr>
        <w:rFonts w:hint="default"/>
      </w:rPr>
    </w:lvl>
  </w:abstractNum>
  <w:abstractNum w:abstractNumId="3">
    <w:nsid w:val="B4848E8F"/>
    <w:multiLevelType w:val="singleLevel"/>
    <w:tmpl w:val="B4848E8F"/>
    <w:lvl w:ilvl="0" w:tentative="0">
      <w:start w:val="1"/>
      <w:numFmt w:val="decimal"/>
      <w:suff w:val="nothing"/>
      <w:lvlText w:val="%1、"/>
      <w:lvlJc w:val="left"/>
      <w:rPr>
        <w:rFonts w:cs="Times New Roman"/>
      </w:rPr>
    </w:lvl>
  </w:abstractNum>
  <w:abstractNum w:abstractNumId="4">
    <w:nsid w:val="B9047A76"/>
    <w:multiLevelType w:val="singleLevel"/>
    <w:tmpl w:val="B9047A76"/>
    <w:lvl w:ilvl="0" w:tentative="0">
      <w:start w:val="1"/>
      <w:numFmt w:val="decimal"/>
      <w:suff w:val="nothing"/>
      <w:lvlText w:val="%1、"/>
      <w:lvlJc w:val="left"/>
      <w:rPr>
        <w:rFonts w:cs="Times New Roman"/>
      </w:rPr>
    </w:lvl>
  </w:abstractNum>
  <w:abstractNum w:abstractNumId="5">
    <w:nsid w:val="EEFFF795"/>
    <w:multiLevelType w:val="singleLevel"/>
    <w:tmpl w:val="EEFFF795"/>
    <w:lvl w:ilvl="0" w:tentative="0">
      <w:start w:val="1"/>
      <w:numFmt w:val="decimal"/>
      <w:lvlText w:val="%1."/>
      <w:lvlJc w:val="left"/>
      <w:pPr>
        <w:ind w:left="425" w:hanging="425"/>
      </w:pPr>
      <w:rPr>
        <w:rFonts w:hint="default"/>
      </w:rPr>
    </w:lvl>
  </w:abstractNum>
  <w:abstractNum w:abstractNumId="6">
    <w:nsid w:val="28020941"/>
    <w:multiLevelType w:val="multilevel"/>
    <w:tmpl w:val="28020941"/>
    <w:lvl w:ilvl="0" w:tentative="0">
      <w:start w:val="1"/>
      <w:numFmt w:val="chineseCountingThousand"/>
      <w:pStyle w:val="4"/>
      <w:suff w:val="nothing"/>
      <w:lvlText w:val="第%1部分"/>
      <w:lvlJc w:val="left"/>
      <w:rPr>
        <w:rFonts w:hint="eastAsia" w:ascii="黑体" w:eastAsia="黑体" w:cs="Times New Roman"/>
        <w:sz w:val="32"/>
      </w:rPr>
    </w:lvl>
    <w:lvl w:ilvl="1" w:tentative="0">
      <w:start w:val="1"/>
      <w:numFmt w:val="upperLetter"/>
      <w:pStyle w:val="5"/>
      <w:suff w:val="nothing"/>
      <w:lvlText w:val="%2"/>
      <w:lvlJc w:val="left"/>
      <w:rPr>
        <w:rFonts w:hint="default" w:ascii="CG Times" w:hAnsi="CG Times" w:cs="Times New Roman"/>
        <w:b/>
        <w:i w:val="0"/>
        <w:sz w:val="28"/>
      </w:rPr>
    </w:lvl>
    <w:lvl w:ilvl="2" w:tentative="0">
      <w:start w:val="1"/>
      <w:numFmt w:val="decimal"/>
      <w:lvlRestart w:val="0"/>
      <w:suff w:val="nothing"/>
      <w:lvlText w:val="%3"/>
      <w:lvlJc w:val="left"/>
      <w:rPr>
        <w:rFonts w:hint="eastAsia" w:ascii="宋体" w:eastAsia="宋体" w:cs="Times New Roman"/>
        <w:b/>
        <w:i w:val="0"/>
        <w:sz w:val="28"/>
      </w:rPr>
    </w:lvl>
    <w:lvl w:ilvl="3" w:tentative="0">
      <w:start w:val="1"/>
      <w:numFmt w:val="none"/>
      <w:suff w:val="nothing"/>
      <w:lvlText w:val=""/>
      <w:lvlJc w:val="left"/>
      <w:rPr>
        <w:rFonts w:hint="eastAsia" w:cs="Times New Roman"/>
      </w:rPr>
    </w:lvl>
    <w:lvl w:ilvl="4" w:tentative="0">
      <w:start w:val="1"/>
      <w:numFmt w:val="none"/>
      <w:pStyle w:val="9"/>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2F854E9C"/>
    <w:multiLevelType w:val="singleLevel"/>
    <w:tmpl w:val="2F854E9C"/>
    <w:lvl w:ilvl="0" w:tentative="0">
      <w:start w:val="1"/>
      <w:numFmt w:val="decimal"/>
      <w:pStyle w:val="8"/>
      <w:lvlText w:val="%1."/>
      <w:lvlJc w:val="left"/>
      <w:pPr>
        <w:tabs>
          <w:tab w:val="left" w:pos="425"/>
        </w:tabs>
        <w:ind w:left="425" w:hanging="425"/>
      </w:pPr>
      <w:rPr>
        <w:rFonts w:hint="eastAsia" w:cs="Times New Roman"/>
      </w:rPr>
    </w:lvl>
  </w:abstractNum>
  <w:abstractNum w:abstractNumId="8">
    <w:nsid w:val="50DE664D"/>
    <w:multiLevelType w:val="singleLevel"/>
    <w:tmpl w:val="50DE664D"/>
    <w:lvl w:ilvl="0" w:tentative="0">
      <w:start w:val="1"/>
      <w:numFmt w:val="chineseCounting"/>
      <w:suff w:val="nothing"/>
      <w:lvlText w:val="（%1）"/>
      <w:lvlJc w:val="left"/>
      <w:pPr>
        <w:ind w:left="-420" w:firstLine="420"/>
      </w:pPr>
      <w:rPr>
        <w:rFonts w:hint="eastAsia"/>
      </w:rPr>
    </w:lvl>
  </w:abstractNum>
  <w:abstractNum w:abstractNumId="9">
    <w:nsid w:val="5D88704A"/>
    <w:multiLevelType w:val="singleLevel"/>
    <w:tmpl w:val="5D88704A"/>
    <w:lvl w:ilvl="0" w:tentative="0">
      <w:start w:val="1"/>
      <w:numFmt w:val="decimal"/>
      <w:suff w:val="nothing"/>
      <w:lvlText w:val="%1、"/>
      <w:lvlJc w:val="left"/>
      <w:rPr>
        <w:rFonts w:cs="Times New Roman"/>
      </w:rPr>
    </w:lvl>
  </w:abstractNum>
  <w:abstractNum w:abstractNumId="10">
    <w:nsid w:val="5F6A1EEE"/>
    <w:multiLevelType w:val="singleLevel"/>
    <w:tmpl w:val="5F6A1EEE"/>
    <w:lvl w:ilvl="0" w:tentative="0">
      <w:start w:val="1"/>
      <w:numFmt w:val="decimal"/>
      <w:pStyle w:val="7"/>
      <w:lvlText w:val="%1."/>
      <w:lvlJc w:val="left"/>
      <w:pPr>
        <w:tabs>
          <w:tab w:val="left" w:pos="425"/>
        </w:tabs>
        <w:ind w:left="425" w:hanging="425"/>
      </w:pPr>
      <w:rPr>
        <w:rFonts w:hint="eastAsia" w:cs="Times New Roman"/>
      </w:rPr>
    </w:lvl>
  </w:abstractNum>
  <w:abstractNum w:abstractNumId="11">
    <w:nsid w:val="6FAE1E3F"/>
    <w:multiLevelType w:val="singleLevel"/>
    <w:tmpl w:val="6FAE1E3F"/>
    <w:lvl w:ilvl="0" w:tentative="0">
      <w:start w:val="1"/>
      <w:numFmt w:val="decimal"/>
      <w:lvlText w:val="%1."/>
      <w:lvlJc w:val="left"/>
      <w:pPr>
        <w:ind w:left="425" w:hanging="425"/>
      </w:pPr>
      <w:rPr>
        <w:rFonts w:hint="default"/>
      </w:rPr>
    </w:lvl>
  </w:abstractNum>
  <w:abstractNum w:abstractNumId="12">
    <w:nsid w:val="71149C44"/>
    <w:multiLevelType w:val="singleLevel"/>
    <w:tmpl w:val="71149C44"/>
    <w:lvl w:ilvl="0" w:tentative="0">
      <w:start w:val="1"/>
      <w:numFmt w:val="decimal"/>
      <w:suff w:val="nothing"/>
      <w:lvlText w:val="（%1）"/>
      <w:lvlJc w:val="left"/>
    </w:lvl>
  </w:abstractNum>
  <w:abstractNum w:abstractNumId="13">
    <w:nsid w:val="7203FB9A"/>
    <w:multiLevelType w:val="singleLevel"/>
    <w:tmpl w:val="7203FB9A"/>
    <w:lvl w:ilvl="0" w:tentative="0">
      <w:start w:val="1"/>
      <w:numFmt w:val="decimal"/>
      <w:lvlText w:val="%1."/>
      <w:lvlJc w:val="left"/>
      <w:pPr>
        <w:ind w:left="425" w:hanging="425"/>
      </w:pPr>
      <w:rPr>
        <w:rFonts w:hint="default"/>
      </w:rPr>
    </w:lvl>
  </w:abstractNum>
  <w:abstractNum w:abstractNumId="14">
    <w:nsid w:val="72806C54"/>
    <w:multiLevelType w:val="multilevel"/>
    <w:tmpl w:val="72806C54"/>
    <w:lvl w:ilvl="0" w:tentative="0">
      <w:start w:val="1"/>
      <w:numFmt w:val="decimal"/>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pStyle w:val="59"/>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6"/>
  </w:num>
  <w:num w:numId="2">
    <w:abstractNumId w:val="10"/>
  </w:num>
  <w:num w:numId="3">
    <w:abstractNumId w:val="7"/>
  </w:num>
  <w:num w:numId="4">
    <w:abstractNumId w:val="14"/>
  </w:num>
  <w:num w:numId="5">
    <w:abstractNumId w:val="9"/>
  </w:num>
  <w:num w:numId="6">
    <w:abstractNumId w:val="4"/>
  </w:num>
  <w:num w:numId="7">
    <w:abstractNumId w:val="8"/>
  </w:num>
  <w:num w:numId="8">
    <w:abstractNumId w:val="13"/>
  </w:num>
  <w:num w:numId="9">
    <w:abstractNumId w:val="2"/>
  </w:num>
  <w:num w:numId="10">
    <w:abstractNumId w:val="1"/>
  </w:num>
  <w:num w:numId="11">
    <w:abstractNumId w:val="11"/>
  </w:num>
  <w:num w:numId="12">
    <w:abstractNumId w:val="5"/>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ZWMxNTBlYjc2NzZiMjY1MDE5Mzc0ZDgxMTgzOTcifQ=="/>
  </w:docVars>
  <w:rsids>
    <w:rsidRoot w:val="005F2469"/>
    <w:rsid w:val="00002013"/>
    <w:rsid w:val="00002941"/>
    <w:rsid w:val="00002BE8"/>
    <w:rsid w:val="00002E97"/>
    <w:rsid w:val="0000357D"/>
    <w:rsid w:val="00003888"/>
    <w:rsid w:val="000038BC"/>
    <w:rsid w:val="00003ECE"/>
    <w:rsid w:val="00004FD0"/>
    <w:rsid w:val="00005F21"/>
    <w:rsid w:val="00006CE7"/>
    <w:rsid w:val="00007C97"/>
    <w:rsid w:val="00007DAB"/>
    <w:rsid w:val="0001046C"/>
    <w:rsid w:val="000115BA"/>
    <w:rsid w:val="000119FC"/>
    <w:rsid w:val="000125D3"/>
    <w:rsid w:val="0001291C"/>
    <w:rsid w:val="0001495E"/>
    <w:rsid w:val="000156AE"/>
    <w:rsid w:val="00015895"/>
    <w:rsid w:val="000167A2"/>
    <w:rsid w:val="00016DA1"/>
    <w:rsid w:val="000203A5"/>
    <w:rsid w:val="0002354D"/>
    <w:rsid w:val="0002365D"/>
    <w:rsid w:val="00023E2E"/>
    <w:rsid w:val="00024A3B"/>
    <w:rsid w:val="00024D6B"/>
    <w:rsid w:val="0002596A"/>
    <w:rsid w:val="000259EA"/>
    <w:rsid w:val="00025B49"/>
    <w:rsid w:val="00026F93"/>
    <w:rsid w:val="000278C7"/>
    <w:rsid w:val="00030D95"/>
    <w:rsid w:val="00031524"/>
    <w:rsid w:val="00031BCE"/>
    <w:rsid w:val="00032B7D"/>
    <w:rsid w:val="000339AD"/>
    <w:rsid w:val="00034567"/>
    <w:rsid w:val="00034AC4"/>
    <w:rsid w:val="0004223C"/>
    <w:rsid w:val="00043DC5"/>
    <w:rsid w:val="00043E41"/>
    <w:rsid w:val="00045948"/>
    <w:rsid w:val="00045A9C"/>
    <w:rsid w:val="00047625"/>
    <w:rsid w:val="00047846"/>
    <w:rsid w:val="00051665"/>
    <w:rsid w:val="00052F9B"/>
    <w:rsid w:val="0005335B"/>
    <w:rsid w:val="000550F8"/>
    <w:rsid w:val="000556CD"/>
    <w:rsid w:val="00056466"/>
    <w:rsid w:val="000569F7"/>
    <w:rsid w:val="00061180"/>
    <w:rsid w:val="000628EA"/>
    <w:rsid w:val="00062BF9"/>
    <w:rsid w:val="00062CDF"/>
    <w:rsid w:val="00064320"/>
    <w:rsid w:val="0006575F"/>
    <w:rsid w:val="000658D3"/>
    <w:rsid w:val="00065F85"/>
    <w:rsid w:val="0006647F"/>
    <w:rsid w:val="000701BD"/>
    <w:rsid w:val="00070B5C"/>
    <w:rsid w:val="00075923"/>
    <w:rsid w:val="00075FB2"/>
    <w:rsid w:val="00077705"/>
    <w:rsid w:val="00077BA2"/>
    <w:rsid w:val="000808CF"/>
    <w:rsid w:val="00081C7B"/>
    <w:rsid w:val="000826C5"/>
    <w:rsid w:val="00082D08"/>
    <w:rsid w:val="00082E28"/>
    <w:rsid w:val="000833EC"/>
    <w:rsid w:val="00084B44"/>
    <w:rsid w:val="00085FB1"/>
    <w:rsid w:val="000863F9"/>
    <w:rsid w:val="00086AA9"/>
    <w:rsid w:val="00087E2B"/>
    <w:rsid w:val="00090253"/>
    <w:rsid w:val="000902BD"/>
    <w:rsid w:val="00091F9A"/>
    <w:rsid w:val="00092451"/>
    <w:rsid w:val="00092D8B"/>
    <w:rsid w:val="00092EF1"/>
    <w:rsid w:val="0009331A"/>
    <w:rsid w:val="00093EDE"/>
    <w:rsid w:val="000959D1"/>
    <w:rsid w:val="00095FE9"/>
    <w:rsid w:val="000A05DD"/>
    <w:rsid w:val="000A0C82"/>
    <w:rsid w:val="000A18B1"/>
    <w:rsid w:val="000A257B"/>
    <w:rsid w:val="000A2654"/>
    <w:rsid w:val="000A5FB8"/>
    <w:rsid w:val="000A61E6"/>
    <w:rsid w:val="000A7303"/>
    <w:rsid w:val="000B08AF"/>
    <w:rsid w:val="000B0CAD"/>
    <w:rsid w:val="000B1278"/>
    <w:rsid w:val="000B16C0"/>
    <w:rsid w:val="000B31A4"/>
    <w:rsid w:val="000B34EA"/>
    <w:rsid w:val="000B458B"/>
    <w:rsid w:val="000B4E78"/>
    <w:rsid w:val="000B540B"/>
    <w:rsid w:val="000B55FD"/>
    <w:rsid w:val="000B5DA7"/>
    <w:rsid w:val="000C0142"/>
    <w:rsid w:val="000C0AC6"/>
    <w:rsid w:val="000C1195"/>
    <w:rsid w:val="000C1A69"/>
    <w:rsid w:val="000C2626"/>
    <w:rsid w:val="000C32D9"/>
    <w:rsid w:val="000C34C6"/>
    <w:rsid w:val="000C767E"/>
    <w:rsid w:val="000D041A"/>
    <w:rsid w:val="000D0CE4"/>
    <w:rsid w:val="000D2AC8"/>
    <w:rsid w:val="000D385B"/>
    <w:rsid w:val="000D3901"/>
    <w:rsid w:val="000D4075"/>
    <w:rsid w:val="000D5B34"/>
    <w:rsid w:val="000D611C"/>
    <w:rsid w:val="000D6686"/>
    <w:rsid w:val="000D6B62"/>
    <w:rsid w:val="000D78A4"/>
    <w:rsid w:val="000D7A89"/>
    <w:rsid w:val="000E176D"/>
    <w:rsid w:val="000E1788"/>
    <w:rsid w:val="000E2F59"/>
    <w:rsid w:val="000E36AD"/>
    <w:rsid w:val="000E3D73"/>
    <w:rsid w:val="000E47DA"/>
    <w:rsid w:val="000E6597"/>
    <w:rsid w:val="000E6A92"/>
    <w:rsid w:val="000E6AFE"/>
    <w:rsid w:val="000F0A3B"/>
    <w:rsid w:val="000F0FAC"/>
    <w:rsid w:val="000F16BC"/>
    <w:rsid w:val="000F26AE"/>
    <w:rsid w:val="000F2BE7"/>
    <w:rsid w:val="000F3504"/>
    <w:rsid w:val="000F38E9"/>
    <w:rsid w:val="000F431B"/>
    <w:rsid w:val="000F500C"/>
    <w:rsid w:val="000F50B3"/>
    <w:rsid w:val="000F68AF"/>
    <w:rsid w:val="000F7E84"/>
    <w:rsid w:val="001004C7"/>
    <w:rsid w:val="00101988"/>
    <w:rsid w:val="00103248"/>
    <w:rsid w:val="00104350"/>
    <w:rsid w:val="0010487E"/>
    <w:rsid w:val="001049A5"/>
    <w:rsid w:val="00106B51"/>
    <w:rsid w:val="00107E5A"/>
    <w:rsid w:val="00110461"/>
    <w:rsid w:val="00111226"/>
    <w:rsid w:val="00112181"/>
    <w:rsid w:val="00114FE9"/>
    <w:rsid w:val="00115362"/>
    <w:rsid w:val="00115975"/>
    <w:rsid w:val="00115FC1"/>
    <w:rsid w:val="00116F1A"/>
    <w:rsid w:val="00117029"/>
    <w:rsid w:val="001173FA"/>
    <w:rsid w:val="00117C0A"/>
    <w:rsid w:val="00120785"/>
    <w:rsid w:val="0012097E"/>
    <w:rsid w:val="00121BBC"/>
    <w:rsid w:val="00123383"/>
    <w:rsid w:val="00123546"/>
    <w:rsid w:val="00123C90"/>
    <w:rsid w:val="00123DAE"/>
    <w:rsid w:val="00124BED"/>
    <w:rsid w:val="00124FFB"/>
    <w:rsid w:val="0012583E"/>
    <w:rsid w:val="001259B2"/>
    <w:rsid w:val="001273F0"/>
    <w:rsid w:val="00127607"/>
    <w:rsid w:val="00127F79"/>
    <w:rsid w:val="001304EA"/>
    <w:rsid w:val="00130FE8"/>
    <w:rsid w:val="00131803"/>
    <w:rsid w:val="00131BFC"/>
    <w:rsid w:val="0013354A"/>
    <w:rsid w:val="001355D9"/>
    <w:rsid w:val="00136121"/>
    <w:rsid w:val="001361EC"/>
    <w:rsid w:val="00136501"/>
    <w:rsid w:val="001367F7"/>
    <w:rsid w:val="00140061"/>
    <w:rsid w:val="00140A0B"/>
    <w:rsid w:val="00140F73"/>
    <w:rsid w:val="001410C9"/>
    <w:rsid w:val="00141E8F"/>
    <w:rsid w:val="00143073"/>
    <w:rsid w:val="00143CA6"/>
    <w:rsid w:val="00145D31"/>
    <w:rsid w:val="00146933"/>
    <w:rsid w:val="00147494"/>
    <w:rsid w:val="00147ED2"/>
    <w:rsid w:val="00150886"/>
    <w:rsid w:val="0015200B"/>
    <w:rsid w:val="001527B0"/>
    <w:rsid w:val="00153A5F"/>
    <w:rsid w:val="00154A56"/>
    <w:rsid w:val="0015720D"/>
    <w:rsid w:val="00157CE8"/>
    <w:rsid w:val="00157FF0"/>
    <w:rsid w:val="001604A5"/>
    <w:rsid w:val="001613C2"/>
    <w:rsid w:val="001633D7"/>
    <w:rsid w:val="001644B8"/>
    <w:rsid w:val="0016504E"/>
    <w:rsid w:val="00166DA5"/>
    <w:rsid w:val="00167860"/>
    <w:rsid w:val="00170255"/>
    <w:rsid w:val="00170DB9"/>
    <w:rsid w:val="00171AF1"/>
    <w:rsid w:val="00172CCC"/>
    <w:rsid w:val="00172D58"/>
    <w:rsid w:val="00173E0C"/>
    <w:rsid w:val="00175275"/>
    <w:rsid w:val="001755FD"/>
    <w:rsid w:val="0017643C"/>
    <w:rsid w:val="001770AB"/>
    <w:rsid w:val="0018010B"/>
    <w:rsid w:val="001834D3"/>
    <w:rsid w:val="0018662B"/>
    <w:rsid w:val="00187D9C"/>
    <w:rsid w:val="00187FA8"/>
    <w:rsid w:val="001912E6"/>
    <w:rsid w:val="00192A70"/>
    <w:rsid w:val="00192EEE"/>
    <w:rsid w:val="00194535"/>
    <w:rsid w:val="00195241"/>
    <w:rsid w:val="00197B20"/>
    <w:rsid w:val="00197D7F"/>
    <w:rsid w:val="001A1042"/>
    <w:rsid w:val="001A4D82"/>
    <w:rsid w:val="001A4E29"/>
    <w:rsid w:val="001A5848"/>
    <w:rsid w:val="001A61F5"/>
    <w:rsid w:val="001A6432"/>
    <w:rsid w:val="001A67E1"/>
    <w:rsid w:val="001A6894"/>
    <w:rsid w:val="001A74AC"/>
    <w:rsid w:val="001A7EE5"/>
    <w:rsid w:val="001B0396"/>
    <w:rsid w:val="001B1D91"/>
    <w:rsid w:val="001B22B2"/>
    <w:rsid w:val="001B29E5"/>
    <w:rsid w:val="001B3656"/>
    <w:rsid w:val="001B5861"/>
    <w:rsid w:val="001B5957"/>
    <w:rsid w:val="001B6080"/>
    <w:rsid w:val="001B6706"/>
    <w:rsid w:val="001B6E33"/>
    <w:rsid w:val="001B77DB"/>
    <w:rsid w:val="001C01A4"/>
    <w:rsid w:val="001C032A"/>
    <w:rsid w:val="001C0777"/>
    <w:rsid w:val="001C59EA"/>
    <w:rsid w:val="001C67DC"/>
    <w:rsid w:val="001D047E"/>
    <w:rsid w:val="001D04AE"/>
    <w:rsid w:val="001D0A10"/>
    <w:rsid w:val="001D70E0"/>
    <w:rsid w:val="001D7BBB"/>
    <w:rsid w:val="001E18C9"/>
    <w:rsid w:val="001E30FD"/>
    <w:rsid w:val="001E3C26"/>
    <w:rsid w:val="001E4452"/>
    <w:rsid w:val="001E4569"/>
    <w:rsid w:val="001E52C9"/>
    <w:rsid w:val="001E573B"/>
    <w:rsid w:val="001E57B3"/>
    <w:rsid w:val="001E699E"/>
    <w:rsid w:val="001E6C9D"/>
    <w:rsid w:val="001E6FBD"/>
    <w:rsid w:val="001E7A8D"/>
    <w:rsid w:val="001F493D"/>
    <w:rsid w:val="001F5A99"/>
    <w:rsid w:val="001F70D0"/>
    <w:rsid w:val="00200822"/>
    <w:rsid w:val="002023CD"/>
    <w:rsid w:val="0020356D"/>
    <w:rsid w:val="002036F5"/>
    <w:rsid w:val="00205099"/>
    <w:rsid w:val="002050B4"/>
    <w:rsid w:val="002051B1"/>
    <w:rsid w:val="00205FA3"/>
    <w:rsid w:val="00210C0A"/>
    <w:rsid w:val="0021110B"/>
    <w:rsid w:val="00211C4B"/>
    <w:rsid w:val="00212F22"/>
    <w:rsid w:val="0021443E"/>
    <w:rsid w:val="0021583B"/>
    <w:rsid w:val="002159A9"/>
    <w:rsid w:val="00215C9E"/>
    <w:rsid w:val="002205B8"/>
    <w:rsid w:val="00220FFD"/>
    <w:rsid w:val="0022116D"/>
    <w:rsid w:val="00222968"/>
    <w:rsid w:val="00223760"/>
    <w:rsid w:val="0022437D"/>
    <w:rsid w:val="0023009E"/>
    <w:rsid w:val="002302E6"/>
    <w:rsid w:val="0023058F"/>
    <w:rsid w:val="00230AB1"/>
    <w:rsid w:val="0023283F"/>
    <w:rsid w:val="00232967"/>
    <w:rsid w:val="00233D62"/>
    <w:rsid w:val="002350EC"/>
    <w:rsid w:val="002355FF"/>
    <w:rsid w:val="00236197"/>
    <w:rsid w:val="00240870"/>
    <w:rsid w:val="00242167"/>
    <w:rsid w:val="0024299E"/>
    <w:rsid w:val="00242F80"/>
    <w:rsid w:val="00243912"/>
    <w:rsid w:val="00245E52"/>
    <w:rsid w:val="00246BDB"/>
    <w:rsid w:val="00247386"/>
    <w:rsid w:val="0025088D"/>
    <w:rsid w:val="00252E41"/>
    <w:rsid w:val="00253512"/>
    <w:rsid w:val="00253825"/>
    <w:rsid w:val="00256144"/>
    <w:rsid w:val="00257888"/>
    <w:rsid w:val="0026009F"/>
    <w:rsid w:val="002603B0"/>
    <w:rsid w:val="00260CDF"/>
    <w:rsid w:val="002614CD"/>
    <w:rsid w:val="00261565"/>
    <w:rsid w:val="0026190F"/>
    <w:rsid w:val="002623F4"/>
    <w:rsid w:val="002631C1"/>
    <w:rsid w:val="00264A31"/>
    <w:rsid w:val="00264CC5"/>
    <w:rsid w:val="00265C61"/>
    <w:rsid w:val="00270637"/>
    <w:rsid w:val="0027218D"/>
    <w:rsid w:val="002722A3"/>
    <w:rsid w:val="002739FB"/>
    <w:rsid w:val="00274B3B"/>
    <w:rsid w:val="00274E62"/>
    <w:rsid w:val="00274FEE"/>
    <w:rsid w:val="0027553A"/>
    <w:rsid w:val="0027635F"/>
    <w:rsid w:val="002806C4"/>
    <w:rsid w:val="00280FCC"/>
    <w:rsid w:val="00281C56"/>
    <w:rsid w:val="00282918"/>
    <w:rsid w:val="002832BE"/>
    <w:rsid w:val="0028403D"/>
    <w:rsid w:val="00284643"/>
    <w:rsid w:val="002849B0"/>
    <w:rsid w:val="00284A4E"/>
    <w:rsid w:val="002850AF"/>
    <w:rsid w:val="00286302"/>
    <w:rsid w:val="002875D3"/>
    <w:rsid w:val="00287727"/>
    <w:rsid w:val="002904EC"/>
    <w:rsid w:val="00290E8E"/>
    <w:rsid w:val="002922A5"/>
    <w:rsid w:val="00292CED"/>
    <w:rsid w:val="00294309"/>
    <w:rsid w:val="00297127"/>
    <w:rsid w:val="00297153"/>
    <w:rsid w:val="002A0313"/>
    <w:rsid w:val="002A1571"/>
    <w:rsid w:val="002A27C6"/>
    <w:rsid w:val="002A3ABC"/>
    <w:rsid w:val="002A3DFB"/>
    <w:rsid w:val="002A5134"/>
    <w:rsid w:val="002A590A"/>
    <w:rsid w:val="002A5A09"/>
    <w:rsid w:val="002A63D7"/>
    <w:rsid w:val="002A67BF"/>
    <w:rsid w:val="002A6868"/>
    <w:rsid w:val="002A6B86"/>
    <w:rsid w:val="002A6E4A"/>
    <w:rsid w:val="002A6F20"/>
    <w:rsid w:val="002A7B1F"/>
    <w:rsid w:val="002B1305"/>
    <w:rsid w:val="002B194A"/>
    <w:rsid w:val="002B28DD"/>
    <w:rsid w:val="002B2AA7"/>
    <w:rsid w:val="002B2EEB"/>
    <w:rsid w:val="002B33D0"/>
    <w:rsid w:val="002B3871"/>
    <w:rsid w:val="002B65FB"/>
    <w:rsid w:val="002B69C3"/>
    <w:rsid w:val="002B79B2"/>
    <w:rsid w:val="002B7CFC"/>
    <w:rsid w:val="002C0149"/>
    <w:rsid w:val="002C0289"/>
    <w:rsid w:val="002C0437"/>
    <w:rsid w:val="002C09F1"/>
    <w:rsid w:val="002C2387"/>
    <w:rsid w:val="002C31DD"/>
    <w:rsid w:val="002C338E"/>
    <w:rsid w:val="002C52BB"/>
    <w:rsid w:val="002C584F"/>
    <w:rsid w:val="002C6E25"/>
    <w:rsid w:val="002C6F8F"/>
    <w:rsid w:val="002C750D"/>
    <w:rsid w:val="002C750F"/>
    <w:rsid w:val="002C77D3"/>
    <w:rsid w:val="002C7AD8"/>
    <w:rsid w:val="002D0667"/>
    <w:rsid w:val="002D1026"/>
    <w:rsid w:val="002D17E1"/>
    <w:rsid w:val="002D1A12"/>
    <w:rsid w:val="002D2821"/>
    <w:rsid w:val="002D2D60"/>
    <w:rsid w:val="002D5FB1"/>
    <w:rsid w:val="002D6E8E"/>
    <w:rsid w:val="002D6EAC"/>
    <w:rsid w:val="002D7B31"/>
    <w:rsid w:val="002E10C0"/>
    <w:rsid w:val="002E1B2F"/>
    <w:rsid w:val="002E1D2D"/>
    <w:rsid w:val="002E410D"/>
    <w:rsid w:val="002E42CC"/>
    <w:rsid w:val="002E54B4"/>
    <w:rsid w:val="002E5E37"/>
    <w:rsid w:val="002E5FDA"/>
    <w:rsid w:val="002E6279"/>
    <w:rsid w:val="002E741F"/>
    <w:rsid w:val="002F03E6"/>
    <w:rsid w:val="002F056D"/>
    <w:rsid w:val="002F14C8"/>
    <w:rsid w:val="002F1AE0"/>
    <w:rsid w:val="002F26DA"/>
    <w:rsid w:val="002F32A6"/>
    <w:rsid w:val="002F3643"/>
    <w:rsid w:val="002F37B1"/>
    <w:rsid w:val="002F488A"/>
    <w:rsid w:val="002F5592"/>
    <w:rsid w:val="002F5910"/>
    <w:rsid w:val="002F5972"/>
    <w:rsid w:val="002F64A6"/>
    <w:rsid w:val="002F7DD7"/>
    <w:rsid w:val="002F7F48"/>
    <w:rsid w:val="0030135A"/>
    <w:rsid w:val="00301A54"/>
    <w:rsid w:val="003031B4"/>
    <w:rsid w:val="00303216"/>
    <w:rsid w:val="00303B7C"/>
    <w:rsid w:val="003047D5"/>
    <w:rsid w:val="00304CD1"/>
    <w:rsid w:val="00305090"/>
    <w:rsid w:val="00305BB8"/>
    <w:rsid w:val="00306E9B"/>
    <w:rsid w:val="00306F3E"/>
    <w:rsid w:val="0030722D"/>
    <w:rsid w:val="0031011A"/>
    <w:rsid w:val="003108A7"/>
    <w:rsid w:val="0031294B"/>
    <w:rsid w:val="00313093"/>
    <w:rsid w:val="003148FF"/>
    <w:rsid w:val="003176A2"/>
    <w:rsid w:val="00317F34"/>
    <w:rsid w:val="00320E58"/>
    <w:rsid w:val="003218B3"/>
    <w:rsid w:val="003226DC"/>
    <w:rsid w:val="003228AB"/>
    <w:rsid w:val="003236BD"/>
    <w:rsid w:val="00324615"/>
    <w:rsid w:val="0032487A"/>
    <w:rsid w:val="00324FDD"/>
    <w:rsid w:val="00325C2F"/>
    <w:rsid w:val="0032707B"/>
    <w:rsid w:val="003276EE"/>
    <w:rsid w:val="00327997"/>
    <w:rsid w:val="00332B64"/>
    <w:rsid w:val="00333282"/>
    <w:rsid w:val="003339BB"/>
    <w:rsid w:val="003345C4"/>
    <w:rsid w:val="00334653"/>
    <w:rsid w:val="00334E9A"/>
    <w:rsid w:val="0033585E"/>
    <w:rsid w:val="00335B0F"/>
    <w:rsid w:val="00336157"/>
    <w:rsid w:val="00340459"/>
    <w:rsid w:val="00342CF1"/>
    <w:rsid w:val="00343D1E"/>
    <w:rsid w:val="003447A3"/>
    <w:rsid w:val="00344D3E"/>
    <w:rsid w:val="003462B7"/>
    <w:rsid w:val="00350200"/>
    <w:rsid w:val="003505D7"/>
    <w:rsid w:val="00351C82"/>
    <w:rsid w:val="003528CF"/>
    <w:rsid w:val="00353B7A"/>
    <w:rsid w:val="00353BC7"/>
    <w:rsid w:val="003540D4"/>
    <w:rsid w:val="00354447"/>
    <w:rsid w:val="00354B61"/>
    <w:rsid w:val="0035663A"/>
    <w:rsid w:val="00356D2C"/>
    <w:rsid w:val="0036065D"/>
    <w:rsid w:val="003619E5"/>
    <w:rsid w:val="00361BED"/>
    <w:rsid w:val="00361C7B"/>
    <w:rsid w:val="00362932"/>
    <w:rsid w:val="00362BF5"/>
    <w:rsid w:val="003639F8"/>
    <w:rsid w:val="00363C9E"/>
    <w:rsid w:val="003643DC"/>
    <w:rsid w:val="0036460C"/>
    <w:rsid w:val="0036559B"/>
    <w:rsid w:val="00365FE0"/>
    <w:rsid w:val="0036611E"/>
    <w:rsid w:val="003664F5"/>
    <w:rsid w:val="00370987"/>
    <w:rsid w:val="00371857"/>
    <w:rsid w:val="00371CEB"/>
    <w:rsid w:val="00371F47"/>
    <w:rsid w:val="00372796"/>
    <w:rsid w:val="00376923"/>
    <w:rsid w:val="00377369"/>
    <w:rsid w:val="00381C55"/>
    <w:rsid w:val="00381F38"/>
    <w:rsid w:val="0038281E"/>
    <w:rsid w:val="00383604"/>
    <w:rsid w:val="00383F8F"/>
    <w:rsid w:val="0038450A"/>
    <w:rsid w:val="00385F15"/>
    <w:rsid w:val="003864B9"/>
    <w:rsid w:val="00386FB5"/>
    <w:rsid w:val="00387017"/>
    <w:rsid w:val="003908CC"/>
    <w:rsid w:val="00393049"/>
    <w:rsid w:val="003930DD"/>
    <w:rsid w:val="0039310A"/>
    <w:rsid w:val="00393184"/>
    <w:rsid w:val="00393B0D"/>
    <w:rsid w:val="003957DC"/>
    <w:rsid w:val="00395C6A"/>
    <w:rsid w:val="0039643B"/>
    <w:rsid w:val="003A0B4E"/>
    <w:rsid w:val="003A0F0E"/>
    <w:rsid w:val="003A1F3A"/>
    <w:rsid w:val="003A2BFE"/>
    <w:rsid w:val="003A2D01"/>
    <w:rsid w:val="003A345F"/>
    <w:rsid w:val="003A40FA"/>
    <w:rsid w:val="003A4BF7"/>
    <w:rsid w:val="003A4F29"/>
    <w:rsid w:val="003A6592"/>
    <w:rsid w:val="003A7728"/>
    <w:rsid w:val="003B1676"/>
    <w:rsid w:val="003B3F68"/>
    <w:rsid w:val="003B4947"/>
    <w:rsid w:val="003B5620"/>
    <w:rsid w:val="003B6261"/>
    <w:rsid w:val="003B788B"/>
    <w:rsid w:val="003C2581"/>
    <w:rsid w:val="003C2DDA"/>
    <w:rsid w:val="003C42C6"/>
    <w:rsid w:val="003C42FE"/>
    <w:rsid w:val="003C4982"/>
    <w:rsid w:val="003C5288"/>
    <w:rsid w:val="003C72F5"/>
    <w:rsid w:val="003C7F21"/>
    <w:rsid w:val="003D10A5"/>
    <w:rsid w:val="003D1D77"/>
    <w:rsid w:val="003D3598"/>
    <w:rsid w:val="003D3FE3"/>
    <w:rsid w:val="003D466F"/>
    <w:rsid w:val="003D5492"/>
    <w:rsid w:val="003D62CB"/>
    <w:rsid w:val="003D67AE"/>
    <w:rsid w:val="003E0848"/>
    <w:rsid w:val="003E1F9F"/>
    <w:rsid w:val="003E26CF"/>
    <w:rsid w:val="003E3702"/>
    <w:rsid w:val="003E5DC5"/>
    <w:rsid w:val="003E7477"/>
    <w:rsid w:val="003F025E"/>
    <w:rsid w:val="003F0C27"/>
    <w:rsid w:val="003F124C"/>
    <w:rsid w:val="003F1267"/>
    <w:rsid w:val="003F1926"/>
    <w:rsid w:val="003F1986"/>
    <w:rsid w:val="003F3095"/>
    <w:rsid w:val="003F366F"/>
    <w:rsid w:val="003F3694"/>
    <w:rsid w:val="003F4F3D"/>
    <w:rsid w:val="003F5282"/>
    <w:rsid w:val="003F591E"/>
    <w:rsid w:val="003F668E"/>
    <w:rsid w:val="00400708"/>
    <w:rsid w:val="004009A0"/>
    <w:rsid w:val="004009C5"/>
    <w:rsid w:val="004009D8"/>
    <w:rsid w:val="00402BC6"/>
    <w:rsid w:val="004030CC"/>
    <w:rsid w:val="0040516F"/>
    <w:rsid w:val="00405F4F"/>
    <w:rsid w:val="00407F17"/>
    <w:rsid w:val="00410444"/>
    <w:rsid w:val="00410FEB"/>
    <w:rsid w:val="0041161F"/>
    <w:rsid w:val="00411932"/>
    <w:rsid w:val="00412985"/>
    <w:rsid w:val="004136B3"/>
    <w:rsid w:val="00414483"/>
    <w:rsid w:val="004146B4"/>
    <w:rsid w:val="004147BA"/>
    <w:rsid w:val="00414DD2"/>
    <w:rsid w:val="004153B6"/>
    <w:rsid w:val="00415E9D"/>
    <w:rsid w:val="0041630C"/>
    <w:rsid w:val="00416FBB"/>
    <w:rsid w:val="0041735D"/>
    <w:rsid w:val="0041753B"/>
    <w:rsid w:val="00417CFF"/>
    <w:rsid w:val="00417D05"/>
    <w:rsid w:val="00417E18"/>
    <w:rsid w:val="004200D5"/>
    <w:rsid w:val="00421DBA"/>
    <w:rsid w:val="00422EB7"/>
    <w:rsid w:val="0042414B"/>
    <w:rsid w:val="0042631C"/>
    <w:rsid w:val="004270C0"/>
    <w:rsid w:val="00427D6C"/>
    <w:rsid w:val="00427F2A"/>
    <w:rsid w:val="00427F61"/>
    <w:rsid w:val="0043053A"/>
    <w:rsid w:val="004316F5"/>
    <w:rsid w:val="00432963"/>
    <w:rsid w:val="004349D4"/>
    <w:rsid w:val="00434B68"/>
    <w:rsid w:val="004378E4"/>
    <w:rsid w:val="004401DC"/>
    <w:rsid w:val="00441B65"/>
    <w:rsid w:val="00444479"/>
    <w:rsid w:val="0044463B"/>
    <w:rsid w:val="004453C7"/>
    <w:rsid w:val="004462AD"/>
    <w:rsid w:val="0044676D"/>
    <w:rsid w:val="00446E0A"/>
    <w:rsid w:val="00450C86"/>
    <w:rsid w:val="0045226A"/>
    <w:rsid w:val="00452402"/>
    <w:rsid w:val="004537B1"/>
    <w:rsid w:val="0045455C"/>
    <w:rsid w:val="00455022"/>
    <w:rsid w:val="00455475"/>
    <w:rsid w:val="004560B3"/>
    <w:rsid w:val="00457685"/>
    <w:rsid w:val="004577C5"/>
    <w:rsid w:val="004604BD"/>
    <w:rsid w:val="00461061"/>
    <w:rsid w:val="0046189C"/>
    <w:rsid w:val="004630B1"/>
    <w:rsid w:val="00463A2C"/>
    <w:rsid w:val="00463C8C"/>
    <w:rsid w:val="00470172"/>
    <w:rsid w:val="0047260A"/>
    <w:rsid w:val="0047317C"/>
    <w:rsid w:val="0047421A"/>
    <w:rsid w:val="00474630"/>
    <w:rsid w:val="0047609C"/>
    <w:rsid w:val="00476580"/>
    <w:rsid w:val="00476C2B"/>
    <w:rsid w:val="00480279"/>
    <w:rsid w:val="004804D5"/>
    <w:rsid w:val="00480C3C"/>
    <w:rsid w:val="0048104A"/>
    <w:rsid w:val="0048348A"/>
    <w:rsid w:val="0048417D"/>
    <w:rsid w:val="004844D2"/>
    <w:rsid w:val="0048462F"/>
    <w:rsid w:val="004847E0"/>
    <w:rsid w:val="00485B87"/>
    <w:rsid w:val="00485E82"/>
    <w:rsid w:val="00486F5D"/>
    <w:rsid w:val="00487600"/>
    <w:rsid w:val="00487E5A"/>
    <w:rsid w:val="00490299"/>
    <w:rsid w:val="00490777"/>
    <w:rsid w:val="00490CB5"/>
    <w:rsid w:val="00490F8F"/>
    <w:rsid w:val="00491BE2"/>
    <w:rsid w:val="00491C48"/>
    <w:rsid w:val="00492C35"/>
    <w:rsid w:val="00493785"/>
    <w:rsid w:val="00493853"/>
    <w:rsid w:val="00493A23"/>
    <w:rsid w:val="00493E37"/>
    <w:rsid w:val="0049408B"/>
    <w:rsid w:val="00494E22"/>
    <w:rsid w:val="00494E9C"/>
    <w:rsid w:val="00497059"/>
    <w:rsid w:val="004A03B3"/>
    <w:rsid w:val="004A188B"/>
    <w:rsid w:val="004A3521"/>
    <w:rsid w:val="004A3AAE"/>
    <w:rsid w:val="004A49A2"/>
    <w:rsid w:val="004A559D"/>
    <w:rsid w:val="004B04DF"/>
    <w:rsid w:val="004B0811"/>
    <w:rsid w:val="004B0F8F"/>
    <w:rsid w:val="004B12B9"/>
    <w:rsid w:val="004B2047"/>
    <w:rsid w:val="004B24D2"/>
    <w:rsid w:val="004B2E53"/>
    <w:rsid w:val="004B5C28"/>
    <w:rsid w:val="004B5C40"/>
    <w:rsid w:val="004B7286"/>
    <w:rsid w:val="004B7483"/>
    <w:rsid w:val="004B7BE0"/>
    <w:rsid w:val="004C09EE"/>
    <w:rsid w:val="004C1D14"/>
    <w:rsid w:val="004C2CAE"/>
    <w:rsid w:val="004C52F8"/>
    <w:rsid w:val="004C6294"/>
    <w:rsid w:val="004D0A33"/>
    <w:rsid w:val="004D1C00"/>
    <w:rsid w:val="004D211B"/>
    <w:rsid w:val="004D2128"/>
    <w:rsid w:val="004D274F"/>
    <w:rsid w:val="004D3744"/>
    <w:rsid w:val="004D7A87"/>
    <w:rsid w:val="004E1BB0"/>
    <w:rsid w:val="004E1D61"/>
    <w:rsid w:val="004E2D4E"/>
    <w:rsid w:val="004E5BE6"/>
    <w:rsid w:val="004E6A9C"/>
    <w:rsid w:val="004E7BF5"/>
    <w:rsid w:val="004F0DCB"/>
    <w:rsid w:val="004F25A3"/>
    <w:rsid w:val="004F34D7"/>
    <w:rsid w:val="004F43ED"/>
    <w:rsid w:val="004F635A"/>
    <w:rsid w:val="004F7C50"/>
    <w:rsid w:val="00501718"/>
    <w:rsid w:val="00501A17"/>
    <w:rsid w:val="00501AE2"/>
    <w:rsid w:val="00501CCA"/>
    <w:rsid w:val="005022C8"/>
    <w:rsid w:val="005032F4"/>
    <w:rsid w:val="0050332F"/>
    <w:rsid w:val="00504F75"/>
    <w:rsid w:val="005056E9"/>
    <w:rsid w:val="00505BB0"/>
    <w:rsid w:val="00507B27"/>
    <w:rsid w:val="00510163"/>
    <w:rsid w:val="0051105D"/>
    <w:rsid w:val="00511787"/>
    <w:rsid w:val="00512BB7"/>
    <w:rsid w:val="0051345F"/>
    <w:rsid w:val="005140AF"/>
    <w:rsid w:val="005141E8"/>
    <w:rsid w:val="005156AB"/>
    <w:rsid w:val="00515A64"/>
    <w:rsid w:val="00515B51"/>
    <w:rsid w:val="005171C7"/>
    <w:rsid w:val="0052017D"/>
    <w:rsid w:val="005205E4"/>
    <w:rsid w:val="00522136"/>
    <w:rsid w:val="00522374"/>
    <w:rsid w:val="00522CEF"/>
    <w:rsid w:val="005253A2"/>
    <w:rsid w:val="00525770"/>
    <w:rsid w:val="00525ACD"/>
    <w:rsid w:val="00532E55"/>
    <w:rsid w:val="00533893"/>
    <w:rsid w:val="00534698"/>
    <w:rsid w:val="00534E07"/>
    <w:rsid w:val="005354C4"/>
    <w:rsid w:val="00536845"/>
    <w:rsid w:val="00540A8E"/>
    <w:rsid w:val="005421E5"/>
    <w:rsid w:val="00542A93"/>
    <w:rsid w:val="00542DD5"/>
    <w:rsid w:val="0054398B"/>
    <w:rsid w:val="00545221"/>
    <w:rsid w:val="005452B8"/>
    <w:rsid w:val="005455AB"/>
    <w:rsid w:val="00546B1A"/>
    <w:rsid w:val="00547A41"/>
    <w:rsid w:val="00547F97"/>
    <w:rsid w:val="005500CB"/>
    <w:rsid w:val="005503A7"/>
    <w:rsid w:val="00551B30"/>
    <w:rsid w:val="00551D80"/>
    <w:rsid w:val="005531DF"/>
    <w:rsid w:val="00553BCD"/>
    <w:rsid w:val="005546A0"/>
    <w:rsid w:val="005548BA"/>
    <w:rsid w:val="00555B8E"/>
    <w:rsid w:val="005561F6"/>
    <w:rsid w:val="00556CD0"/>
    <w:rsid w:val="00556D3C"/>
    <w:rsid w:val="00557A85"/>
    <w:rsid w:val="005644D0"/>
    <w:rsid w:val="0056546E"/>
    <w:rsid w:val="005679D4"/>
    <w:rsid w:val="00567A5C"/>
    <w:rsid w:val="00567D3F"/>
    <w:rsid w:val="00570A8D"/>
    <w:rsid w:val="00571502"/>
    <w:rsid w:val="005732E2"/>
    <w:rsid w:val="00573932"/>
    <w:rsid w:val="00573E22"/>
    <w:rsid w:val="00574A05"/>
    <w:rsid w:val="0057507B"/>
    <w:rsid w:val="00575538"/>
    <w:rsid w:val="00575980"/>
    <w:rsid w:val="00576771"/>
    <w:rsid w:val="00580A3B"/>
    <w:rsid w:val="005824D2"/>
    <w:rsid w:val="00582FE6"/>
    <w:rsid w:val="00584022"/>
    <w:rsid w:val="0058548A"/>
    <w:rsid w:val="0058650C"/>
    <w:rsid w:val="0058727D"/>
    <w:rsid w:val="00587468"/>
    <w:rsid w:val="005874AE"/>
    <w:rsid w:val="00590FDB"/>
    <w:rsid w:val="00592E3C"/>
    <w:rsid w:val="00593140"/>
    <w:rsid w:val="00594AD5"/>
    <w:rsid w:val="005952BA"/>
    <w:rsid w:val="00595A61"/>
    <w:rsid w:val="00597268"/>
    <w:rsid w:val="005976E5"/>
    <w:rsid w:val="00597832"/>
    <w:rsid w:val="00597F2D"/>
    <w:rsid w:val="005A2F8A"/>
    <w:rsid w:val="005A3860"/>
    <w:rsid w:val="005A50E5"/>
    <w:rsid w:val="005A51D1"/>
    <w:rsid w:val="005A714C"/>
    <w:rsid w:val="005A7AA0"/>
    <w:rsid w:val="005A7B6E"/>
    <w:rsid w:val="005B10F9"/>
    <w:rsid w:val="005B13CD"/>
    <w:rsid w:val="005B1DC7"/>
    <w:rsid w:val="005B269A"/>
    <w:rsid w:val="005B313A"/>
    <w:rsid w:val="005B39BD"/>
    <w:rsid w:val="005B3A98"/>
    <w:rsid w:val="005B5CEE"/>
    <w:rsid w:val="005B67C8"/>
    <w:rsid w:val="005B6AA9"/>
    <w:rsid w:val="005B7A00"/>
    <w:rsid w:val="005B7B89"/>
    <w:rsid w:val="005C03AF"/>
    <w:rsid w:val="005C0BE5"/>
    <w:rsid w:val="005C2609"/>
    <w:rsid w:val="005C2C62"/>
    <w:rsid w:val="005C338F"/>
    <w:rsid w:val="005C3B14"/>
    <w:rsid w:val="005C528A"/>
    <w:rsid w:val="005C546B"/>
    <w:rsid w:val="005C68F1"/>
    <w:rsid w:val="005C7DDD"/>
    <w:rsid w:val="005D01FB"/>
    <w:rsid w:val="005D0713"/>
    <w:rsid w:val="005D0C18"/>
    <w:rsid w:val="005D0D7A"/>
    <w:rsid w:val="005D3533"/>
    <w:rsid w:val="005D3582"/>
    <w:rsid w:val="005D3A78"/>
    <w:rsid w:val="005D4126"/>
    <w:rsid w:val="005D4890"/>
    <w:rsid w:val="005D673F"/>
    <w:rsid w:val="005D7AF3"/>
    <w:rsid w:val="005E0F5F"/>
    <w:rsid w:val="005E10AD"/>
    <w:rsid w:val="005E1A9F"/>
    <w:rsid w:val="005E1B08"/>
    <w:rsid w:val="005E2C12"/>
    <w:rsid w:val="005E39BD"/>
    <w:rsid w:val="005E4286"/>
    <w:rsid w:val="005E4DED"/>
    <w:rsid w:val="005E51EC"/>
    <w:rsid w:val="005E59F3"/>
    <w:rsid w:val="005E5A80"/>
    <w:rsid w:val="005E62E3"/>
    <w:rsid w:val="005E78C3"/>
    <w:rsid w:val="005E7E94"/>
    <w:rsid w:val="005F2469"/>
    <w:rsid w:val="005F2675"/>
    <w:rsid w:val="005F2D1F"/>
    <w:rsid w:val="005F2D46"/>
    <w:rsid w:val="005F3233"/>
    <w:rsid w:val="005F3935"/>
    <w:rsid w:val="005F3ECF"/>
    <w:rsid w:val="005F68DA"/>
    <w:rsid w:val="005F6976"/>
    <w:rsid w:val="005F7228"/>
    <w:rsid w:val="005F78B1"/>
    <w:rsid w:val="005F7E15"/>
    <w:rsid w:val="00605484"/>
    <w:rsid w:val="00605A14"/>
    <w:rsid w:val="00606F71"/>
    <w:rsid w:val="00610B93"/>
    <w:rsid w:val="0061156E"/>
    <w:rsid w:val="006148D2"/>
    <w:rsid w:val="00617DFE"/>
    <w:rsid w:val="00620B55"/>
    <w:rsid w:val="00621E94"/>
    <w:rsid w:val="00622566"/>
    <w:rsid w:val="0062359C"/>
    <w:rsid w:val="0062380C"/>
    <w:rsid w:val="00624748"/>
    <w:rsid w:val="00624A6C"/>
    <w:rsid w:val="0062559D"/>
    <w:rsid w:val="00625B29"/>
    <w:rsid w:val="00625DCE"/>
    <w:rsid w:val="006260D2"/>
    <w:rsid w:val="0062730F"/>
    <w:rsid w:val="00630098"/>
    <w:rsid w:val="006309EE"/>
    <w:rsid w:val="006315CC"/>
    <w:rsid w:val="00633481"/>
    <w:rsid w:val="00633F44"/>
    <w:rsid w:val="00635CD8"/>
    <w:rsid w:val="00635D53"/>
    <w:rsid w:val="006405F0"/>
    <w:rsid w:val="00643B9E"/>
    <w:rsid w:val="00643FB4"/>
    <w:rsid w:val="00644A93"/>
    <w:rsid w:val="00644BD7"/>
    <w:rsid w:val="00650420"/>
    <w:rsid w:val="00651F43"/>
    <w:rsid w:val="0065521A"/>
    <w:rsid w:val="006576EC"/>
    <w:rsid w:val="0066160C"/>
    <w:rsid w:val="0066172D"/>
    <w:rsid w:val="00661FFD"/>
    <w:rsid w:val="00662512"/>
    <w:rsid w:val="00662F88"/>
    <w:rsid w:val="006634E4"/>
    <w:rsid w:val="00664209"/>
    <w:rsid w:val="0066448F"/>
    <w:rsid w:val="00666126"/>
    <w:rsid w:val="006677E3"/>
    <w:rsid w:val="00667C04"/>
    <w:rsid w:val="00671627"/>
    <w:rsid w:val="0067186D"/>
    <w:rsid w:val="00672722"/>
    <w:rsid w:val="00673190"/>
    <w:rsid w:val="00673585"/>
    <w:rsid w:val="00681ABD"/>
    <w:rsid w:val="00681D1E"/>
    <w:rsid w:val="0068235C"/>
    <w:rsid w:val="00682F0C"/>
    <w:rsid w:val="00683B1B"/>
    <w:rsid w:val="00683B8D"/>
    <w:rsid w:val="00684921"/>
    <w:rsid w:val="00686679"/>
    <w:rsid w:val="00686AAD"/>
    <w:rsid w:val="00692047"/>
    <w:rsid w:val="00692E07"/>
    <w:rsid w:val="0069311C"/>
    <w:rsid w:val="006932DB"/>
    <w:rsid w:val="00694991"/>
    <w:rsid w:val="00696257"/>
    <w:rsid w:val="00696315"/>
    <w:rsid w:val="0069651E"/>
    <w:rsid w:val="006A0030"/>
    <w:rsid w:val="006A02B1"/>
    <w:rsid w:val="006A1AC0"/>
    <w:rsid w:val="006A2F06"/>
    <w:rsid w:val="006A3D69"/>
    <w:rsid w:val="006A4D61"/>
    <w:rsid w:val="006A734D"/>
    <w:rsid w:val="006B07AE"/>
    <w:rsid w:val="006B089C"/>
    <w:rsid w:val="006B0A05"/>
    <w:rsid w:val="006B1B48"/>
    <w:rsid w:val="006B1CE8"/>
    <w:rsid w:val="006B23EA"/>
    <w:rsid w:val="006B3B81"/>
    <w:rsid w:val="006B3E5B"/>
    <w:rsid w:val="006B4D46"/>
    <w:rsid w:val="006B6FF4"/>
    <w:rsid w:val="006C0CF7"/>
    <w:rsid w:val="006C121F"/>
    <w:rsid w:val="006C19C1"/>
    <w:rsid w:val="006C2C90"/>
    <w:rsid w:val="006C350F"/>
    <w:rsid w:val="006C526F"/>
    <w:rsid w:val="006C5463"/>
    <w:rsid w:val="006C6626"/>
    <w:rsid w:val="006C6973"/>
    <w:rsid w:val="006C6FEB"/>
    <w:rsid w:val="006D1F7C"/>
    <w:rsid w:val="006D29A8"/>
    <w:rsid w:val="006D30AE"/>
    <w:rsid w:val="006D493F"/>
    <w:rsid w:val="006D5233"/>
    <w:rsid w:val="006D5648"/>
    <w:rsid w:val="006D5A1F"/>
    <w:rsid w:val="006D77CF"/>
    <w:rsid w:val="006E033A"/>
    <w:rsid w:val="006E04DE"/>
    <w:rsid w:val="006E08CD"/>
    <w:rsid w:val="006E0E7A"/>
    <w:rsid w:val="006E192E"/>
    <w:rsid w:val="006E41D1"/>
    <w:rsid w:val="006E435E"/>
    <w:rsid w:val="006E6BAF"/>
    <w:rsid w:val="006F04F5"/>
    <w:rsid w:val="006F05E2"/>
    <w:rsid w:val="006F1A35"/>
    <w:rsid w:val="006F460E"/>
    <w:rsid w:val="006F62C0"/>
    <w:rsid w:val="006F6C47"/>
    <w:rsid w:val="006F7607"/>
    <w:rsid w:val="006F764E"/>
    <w:rsid w:val="0070185B"/>
    <w:rsid w:val="00702082"/>
    <w:rsid w:val="007024D1"/>
    <w:rsid w:val="00702952"/>
    <w:rsid w:val="00702D6A"/>
    <w:rsid w:val="00704050"/>
    <w:rsid w:val="00705802"/>
    <w:rsid w:val="007070E0"/>
    <w:rsid w:val="0071071B"/>
    <w:rsid w:val="0071157B"/>
    <w:rsid w:val="00712B2A"/>
    <w:rsid w:val="007131EE"/>
    <w:rsid w:val="007136D3"/>
    <w:rsid w:val="007138B6"/>
    <w:rsid w:val="007144F5"/>
    <w:rsid w:val="007149AD"/>
    <w:rsid w:val="00714CA9"/>
    <w:rsid w:val="00716255"/>
    <w:rsid w:val="007169C6"/>
    <w:rsid w:val="007178CA"/>
    <w:rsid w:val="0072038A"/>
    <w:rsid w:val="00722FA6"/>
    <w:rsid w:val="00722FE6"/>
    <w:rsid w:val="00723A2F"/>
    <w:rsid w:val="0072403D"/>
    <w:rsid w:val="00725F43"/>
    <w:rsid w:val="007273BD"/>
    <w:rsid w:val="00727A4F"/>
    <w:rsid w:val="00727A63"/>
    <w:rsid w:val="00727D51"/>
    <w:rsid w:val="00727D7C"/>
    <w:rsid w:val="0073114A"/>
    <w:rsid w:val="0073261A"/>
    <w:rsid w:val="00733210"/>
    <w:rsid w:val="00736011"/>
    <w:rsid w:val="007361E8"/>
    <w:rsid w:val="00737B0C"/>
    <w:rsid w:val="00740124"/>
    <w:rsid w:val="00740582"/>
    <w:rsid w:val="00740AD4"/>
    <w:rsid w:val="00740BAC"/>
    <w:rsid w:val="00740E93"/>
    <w:rsid w:val="00741395"/>
    <w:rsid w:val="00745A09"/>
    <w:rsid w:val="007461D4"/>
    <w:rsid w:val="007500E8"/>
    <w:rsid w:val="00750F9A"/>
    <w:rsid w:val="00753D2E"/>
    <w:rsid w:val="00753F5E"/>
    <w:rsid w:val="007548D5"/>
    <w:rsid w:val="0075548B"/>
    <w:rsid w:val="00755584"/>
    <w:rsid w:val="007569DF"/>
    <w:rsid w:val="00763D9C"/>
    <w:rsid w:val="00763E01"/>
    <w:rsid w:val="0076477D"/>
    <w:rsid w:val="00765DDA"/>
    <w:rsid w:val="00766A8B"/>
    <w:rsid w:val="00767106"/>
    <w:rsid w:val="0076742B"/>
    <w:rsid w:val="00771025"/>
    <w:rsid w:val="00772DC7"/>
    <w:rsid w:val="00772FFE"/>
    <w:rsid w:val="00774C7D"/>
    <w:rsid w:val="00776717"/>
    <w:rsid w:val="00776A48"/>
    <w:rsid w:val="007805B8"/>
    <w:rsid w:val="007811F9"/>
    <w:rsid w:val="00781DB9"/>
    <w:rsid w:val="00782CFE"/>
    <w:rsid w:val="00783214"/>
    <w:rsid w:val="007836ED"/>
    <w:rsid w:val="007838EA"/>
    <w:rsid w:val="00783CCE"/>
    <w:rsid w:val="00784F01"/>
    <w:rsid w:val="00786028"/>
    <w:rsid w:val="007865AC"/>
    <w:rsid w:val="007867F0"/>
    <w:rsid w:val="00787F1E"/>
    <w:rsid w:val="00791C92"/>
    <w:rsid w:val="00792292"/>
    <w:rsid w:val="007928BD"/>
    <w:rsid w:val="00795C56"/>
    <w:rsid w:val="0079600F"/>
    <w:rsid w:val="007977DD"/>
    <w:rsid w:val="00797EC5"/>
    <w:rsid w:val="007A0A40"/>
    <w:rsid w:val="007A17CF"/>
    <w:rsid w:val="007A4BB1"/>
    <w:rsid w:val="007A5099"/>
    <w:rsid w:val="007A52FC"/>
    <w:rsid w:val="007A6811"/>
    <w:rsid w:val="007A777C"/>
    <w:rsid w:val="007A7968"/>
    <w:rsid w:val="007B085F"/>
    <w:rsid w:val="007B0C76"/>
    <w:rsid w:val="007B2525"/>
    <w:rsid w:val="007B2BA3"/>
    <w:rsid w:val="007B3558"/>
    <w:rsid w:val="007B3CAC"/>
    <w:rsid w:val="007B3DFF"/>
    <w:rsid w:val="007B3F70"/>
    <w:rsid w:val="007B3FFB"/>
    <w:rsid w:val="007B74E7"/>
    <w:rsid w:val="007C017E"/>
    <w:rsid w:val="007C0A42"/>
    <w:rsid w:val="007C2FE5"/>
    <w:rsid w:val="007C323E"/>
    <w:rsid w:val="007C4153"/>
    <w:rsid w:val="007C417D"/>
    <w:rsid w:val="007C4333"/>
    <w:rsid w:val="007C5917"/>
    <w:rsid w:val="007C5E2D"/>
    <w:rsid w:val="007D1116"/>
    <w:rsid w:val="007D5057"/>
    <w:rsid w:val="007D576B"/>
    <w:rsid w:val="007E002F"/>
    <w:rsid w:val="007E130A"/>
    <w:rsid w:val="007E1FB8"/>
    <w:rsid w:val="007E48AC"/>
    <w:rsid w:val="007E55C2"/>
    <w:rsid w:val="007E5C50"/>
    <w:rsid w:val="007E70D8"/>
    <w:rsid w:val="007F1128"/>
    <w:rsid w:val="007F1342"/>
    <w:rsid w:val="007F1DB4"/>
    <w:rsid w:val="007F35AB"/>
    <w:rsid w:val="007F38E5"/>
    <w:rsid w:val="007F39CF"/>
    <w:rsid w:val="007F5BC7"/>
    <w:rsid w:val="007F6BEE"/>
    <w:rsid w:val="007F6C8C"/>
    <w:rsid w:val="008017D8"/>
    <w:rsid w:val="00801A50"/>
    <w:rsid w:val="00801F00"/>
    <w:rsid w:val="00802626"/>
    <w:rsid w:val="00803413"/>
    <w:rsid w:val="00804219"/>
    <w:rsid w:val="0080425E"/>
    <w:rsid w:val="00804C62"/>
    <w:rsid w:val="00806DC4"/>
    <w:rsid w:val="00806F35"/>
    <w:rsid w:val="0080721C"/>
    <w:rsid w:val="008103E4"/>
    <w:rsid w:val="008103F2"/>
    <w:rsid w:val="0081060B"/>
    <w:rsid w:val="008113BF"/>
    <w:rsid w:val="008129C3"/>
    <w:rsid w:val="008140C3"/>
    <w:rsid w:val="0081434B"/>
    <w:rsid w:val="00814E59"/>
    <w:rsid w:val="008158C7"/>
    <w:rsid w:val="00816762"/>
    <w:rsid w:val="00817157"/>
    <w:rsid w:val="0081791F"/>
    <w:rsid w:val="00817CAA"/>
    <w:rsid w:val="00817DF2"/>
    <w:rsid w:val="008203BB"/>
    <w:rsid w:val="00820721"/>
    <w:rsid w:val="00820E86"/>
    <w:rsid w:val="00820FF1"/>
    <w:rsid w:val="008218C1"/>
    <w:rsid w:val="00823801"/>
    <w:rsid w:val="00823808"/>
    <w:rsid w:val="00824A41"/>
    <w:rsid w:val="00824BD8"/>
    <w:rsid w:val="0082604B"/>
    <w:rsid w:val="00826ED6"/>
    <w:rsid w:val="00827A85"/>
    <w:rsid w:val="00832E91"/>
    <w:rsid w:val="0083353A"/>
    <w:rsid w:val="00834052"/>
    <w:rsid w:val="00834BAD"/>
    <w:rsid w:val="008350E9"/>
    <w:rsid w:val="0083591F"/>
    <w:rsid w:val="00835CB2"/>
    <w:rsid w:val="008369F8"/>
    <w:rsid w:val="00836AAD"/>
    <w:rsid w:val="00837943"/>
    <w:rsid w:val="00840F0B"/>
    <w:rsid w:val="008411B6"/>
    <w:rsid w:val="0084260A"/>
    <w:rsid w:val="008435F2"/>
    <w:rsid w:val="00843845"/>
    <w:rsid w:val="00844007"/>
    <w:rsid w:val="008444E6"/>
    <w:rsid w:val="00845233"/>
    <w:rsid w:val="00845EF6"/>
    <w:rsid w:val="008508C3"/>
    <w:rsid w:val="00850A58"/>
    <w:rsid w:val="00850F19"/>
    <w:rsid w:val="00852929"/>
    <w:rsid w:val="00852F28"/>
    <w:rsid w:val="008531E4"/>
    <w:rsid w:val="008553C6"/>
    <w:rsid w:val="008559CE"/>
    <w:rsid w:val="00855A9B"/>
    <w:rsid w:val="00856C3C"/>
    <w:rsid w:val="008603E1"/>
    <w:rsid w:val="00862855"/>
    <w:rsid w:val="00862AF5"/>
    <w:rsid w:val="00863A8F"/>
    <w:rsid w:val="008660CB"/>
    <w:rsid w:val="00866CB7"/>
    <w:rsid w:val="00866F70"/>
    <w:rsid w:val="008670E4"/>
    <w:rsid w:val="008673ED"/>
    <w:rsid w:val="0086767B"/>
    <w:rsid w:val="00873743"/>
    <w:rsid w:val="008742DB"/>
    <w:rsid w:val="008750E0"/>
    <w:rsid w:val="0087523F"/>
    <w:rsid w:val="0087648F"/>
    <w:rsid w:val="008772B6"/>
    <w:rsid w:val="00877566"/>
    <w:rsid w:val="0088090E"/>
    <w:rsid w:val="008809BB"/>
    <w:rsid w:val="0088140C"/>
    <w:rsid w:val="0088429E"/>
    <w:rsid w:val="00884E93"/>
    <w:rsid w:val="008851C7"/>
    <w:rsid w:val="0088524F"/>
    <w:rsid w:val="00885B6B"/>
    <w:rsid w:val="00885E9B"/>
    <w:rsid w:val="00886075"/>
    <w:rsid w:val="0088641C"/>
    <w:rsid w:val="00887A0D"/>
    <w:rsid w:val="00891205"/>
    <w:rsid w:val="00891C4F"/>
    <w:rsid w:val="00892DE4"/>
    <w:rsid w:val="00893175"/>
    <w:rsid w:val="008949AC"/>
    <w:rsid w:val="00894FF6"/>
    <w:rsid w:val="0089530D"/>
    <w:rsid w:val="00895EC2"/>
    <w:rsid w:val="00897FC8"/>
    <w:rsid w:val="008A08C8"/>
    <w:rsid w:val="008A0A30"/>
    <w:rsid w:val="008A26FE"/>
    <w:rsid w:val="008A4AC1"/>
    <w:rsid w:val="008A5E72"/>
    <w:rsid w:val="008A7AC3"/>
    <w:rsid w:val="008A7E89"/>
    <w:rsid w:val="008A7F6D"/>
    <w:rsid w:val="008B1CD6"/>
    <w:rsid w:val="008B1CE6"/>
    <w:rsid w:val="008B3D12"/>
    <w:rsid w:val="008B424E"/>
    <w:rsid w:val="008B42D6"/>
    <w:rsid w:val="008B487F"/>
    <w:rsid w:val="008B52C7"/>
    <w:rsid w:val="008B6157"/>
    <w:rsid w:val="008B63BA"/>
    <w:rsid w:val="008B735F"/>
    <w:rsid w:val="008B7B0E"/>
    <w:rsid w:val="008B7F7B"/>
    <w:rsid w:val="008C0793"/>
    <w:rsid w:val="008C21C1"/>
    <w:rsid w:val="008C238E"/>
    <w:rsid w:val="008C23E4"/>
    <w:rsid w:val="008C31D9"/>
    <w:rsid w:val="008C3B58"/>
    <w:rsid w:val="008C4617"/>
    <w:rsid w:val="008C4653"/>
    <w:rsid w:val="008C5746"/>
    <w:rsid w:val="008C60BF"/>
    <w:rsid w:val="008C7B20"/>
    <w:rsid w:val="008D0361"/>
    <w:rsid w:val="008D0BFD"/>
    <w:rsid w:val="008D0DBD"/>
    <w:rsid w:val="008D0E7B"/>
    <w:rsid w:val="008D0EB7"/>
    <w:rsid w:val="008D16A5"/>
    <w:rsid w:val="008D1B74"/>
    <w:rsid w:val="008D2730"/>
    <w:rsid w:val="008D280A"/>
    <w:rsid w:val="008D2AA6"/>
    <w:rsid w:val="008D3384"/>
    <w:rsid w:val="008D3719"/>
    <w:rsid w:val="008D50DB"/>
    <w:rsid w:val="008D58B8"/>
    <w:rsid w:val="008D6C8D"/>
    <w:rsid w:val="008D6E72"/>
    <w:rsid w:val="008D727D"/>
    <w:rsid w:val="008D7AA0"/>
    <w:rsid w:val="008E2181"/>
    <w:rsid w:val="008E2491"/>
    <w:rsid w:val="008E2B1C"/>
    <w:rsid w:val="008E448F"/>
    <w:rsid w:val="008E4A2F"/>
    <w:rsid w:val="008E51E9"/>
    <w:rsid w:val="008E52EF"/>
    <w:rsid w:val="008E6632"/>
    <w:rsid w:val="008F0883"/>
    <w:rsid w:val="008F20F5"/>
    <w:rsid w:val="008F2B4B"/>
    <w:rsid w:val="008F31A4"/>
    <w:rsid w:val="008F40F8"/>
    <w:rsid w:val="008F5118"/>
    <w:rsid w:val="008F675A"/>
    <w:rsid w:val="0090012F"/>
    <w:rsid w:val="00900208"/>
    <w:rsid w:val="009006E3"/>
    <w:rsid w:val="00902CB8"/>
    <w:rsid w:val="00903D45"/>
    <w:rsid w:val="009045FD"/>
    <w:rsid w:val="00904644"/>
    <w:rsid w:val="009065A7"/>
    <w:rsid w:val="00906908"/>
    <w:rsid w:val="009077CA"/>
    <w:rsid w:val="009077F7"/>
    <w:rsid w:val="00907B28"/>
    <w:rsid w:val="0091195C"/>
    <w:rsid w:val="00912748"/>
    <w:rsid w:val="00913E9B"/>
    <w:rsid w:val="00913F14"/>
    <w:rsid w:val="00915319"/>
    <w:rsid w:val="00915889"/>
    <w:rsid w:val="00915B89"/>
    <w:rsid w:val="00916A43"/>
    <w:rsid w:val="009170FC"/>
    <w:rsid w:val="009172BC"/>
    <w:rsid w:val="00917366"/>
    <w:rsid w:val="00917971"/>
    <w:rsid w:val="009203E2"/>
    <w:rsid w:val="009224E1"/>
    <w:rsid w:val="00922744"/>
    <w:rsid w:val="009229F9"/>
    <w:rsid w:val="0092494D"/>
    <w:rsid w:val="00924F72"/>
    <w:rsid w:val="00925977"/>
    <w:rsid w:val="00926182"/>
    <w:rsid w:val="00926681"/>
    <w:rsid w:val="00927314"/>
    <w:rsid w:val="00931C4B"/>
    <w:rsid w:val="00931CE8"/>
    <w:rsid w:val="00934B2B"/>
    <w:rsid w:val="00935A4A"/>
    <w:rsid w:val="00936162"/>
    <w:rsid w:val="00936D75"/>
    <w:rsid w:val="00937008"/>
    <w:rsid w:val="00937CF6"/>
    <w:rsid w:val="0094089E"/>
    <w:rsid w:val="0094126F"/>
    <w:rsid w:val="009412C9"/>
    <w:rsid w:val="00942816"/>
    <w:rsid w:val="00942F1F"/>
    <w:rsid w:val="0094369A"/>
    <w:rsid w:val="00943960"/>
    <w:rsid w:val="00943A02"/>
    <w:rsid w:val="00943B36"/>
    <w:rsid w:val="00944570"/>
    <w:rsid w:val="00945400"/>
    <w:rsid w:val="00946249"/>
    <w:rsid w:val="00946ABA"/>
    <w:rsid w:val="00946C93"/>
    <w:rsid w:val="00946D4F"/>
    <w:rsid w:val="0094772C"/>
    <w:rsid w:val="00950112"/>
    <w:rsid w:val="009505A8"/>
    <w:rsid w:val="0095119E"/>
    <w:rsid w:val="0095243E"/>
    <w:rsid w:val="00953A06"/>
    <w:rsid w:val="00954133"/>
    <w:rsid w:val="00955BC4"/>
    <w:rsid w:val="0095633A"/>
    <w:rsid w:val="00957118"/>
    <w:rsid w:val="00957335"/>
    <w:rsid w:val="00957999"/>
    <w:rsid w:val="00960E42"/>
    <w:rsid w:val="009624BF"/>
    <w:rsid w:val="00962D74"/>
    <w:rsid w:val="00962F52"/>
    <w:rsid w:val="00963853"/>
    <w:rsid w:val="009643D0"/>
    <w:rsid w:val="00965BE7"/>
    <w:rsid w:val="009663AB"/>
    <w:rsid w:val="00966977"/>
    <w:rsid w:val="009671BA"/>
    <w:rsid w:val="009674E7"/>
    <w:rsid w:val="00967565"/>
    <w:rsid w:val="00971946"/>
    <w:rsid w:val="00971956"/>
    <w:rsid w:val="009720A0"/>
    <w:rsid w:val="00973C7C"/>
    <w:rsid w:val="00973F6B"/>
    <w:rsid w:val="009742B5"/>
    <w:rsid w:val="009764B8"/>
    <w:rsid w:val="00976F88"/>
    <w:rsid w:val="00976F8B"/>
    <w:rsid w:val="00981097"/>
    <w:rsid w:val="00981782"/>
    <w:rsid w:val="009825C1"/>
    <w:rsid w:val="00982A17"/>
    <w:rsid w:val="00983427"/>
    <w:rsid w:val="0098464C"/>
    <w:rsid w:val="0098485E"/>
    <w:rsid w:val="0098491C"/>
    <w:rsid w:val="00984FAB"/>
    <w:rsid w:val="00986782"/>
    <w:rsid w:val="00990236"/>
    <w:rsid w:val="0099066F"/>
    <w:rsid w:val="00992EEC"/>
    <w:rsid w:val="00993E08"/>
    <w:rsid w:val="00995825"/>
    <w:rsid w:val="00996678"/>
    <w:rsid w:val="009968EF"/>
    <w:rsid w:val="00997128"/>
    <w:rsid w:val="009A0777"/>
    <w:rsid w:val="009A28FA"/>
    <w:rsid w:val="009A3D06"/>
    <w:rsid w:val="009A49A8"/>
    <w:rsid w:val="009A49BC"/>
    <w:rsid w:val="009A522D"/>
    <w:rsid w:val="009A5692"/>
    <w:rsid w:val="009A571A"/>
    <w:rsid w:val="009A57C5"/>
    <w:rsid w:val="009A5C3E"/>
    <w:rsid w:val="009A7E67"/>
    <w:rsid w:val="009B1677"/>
    <w:rsid w:val="009B1743"/>
    <w:rsid w:val="009B283B"/>
    <w:rsid w:val="009B2AF2"/>
    <w:rsid w:val="009B2C5E"/>
    <w:rsid w:val="009B3424"/>
    <w:rsid w:val="009B4B93"/>
    <w:rsid w:val="009B4C36"/>
    <w:rsid w:val="009B7C37"/>
    <w:rsid w:val="009C01D7"/>
    <w:rsid w:val="009C1FFA"/>
    <w:rsid w:val="009C3F18"/>
    <w:rsid w:val="009C579E"/>
    <w:rsid w:val="009C6DA9"/>
    <w:rsid w:val="009C77D4"/>
    <w:rsid w:val="009C7EA0"/>
    <w:rsid w:val="009D0FBF"/>
    <w:rsid w:val="009D185C"/>
    <w:rsid w:val="009D28D5"/>
    <w:rsid w:val="009D2DD0"/>
    <w:rsid w:val="009D39E0"/>
    <w:rsid w:val="009D5960"/>
    <w:rsid w:val="009D7513"/>
    <w:rsid w:val="009E06D8"/>
    <w:rsid w:val="009E1B7D"/>
    <w:rsid w:val="009E2256"/>
    <w:rsid w:val="009E2D54"/>
    <w:rsid w:val="009E3BC5"/>
    <w:rsid w:val="009E4468"/>
    <w:rsid w:val="009E51C9"/>
    <w:rsid w:val="009E55FB"/>
    <w:rsid w:val="009E609E"/>
    <w:rsid w:val="009E793F"/>
    <w:rsid w:val="009E7A1B"/>
    <w:rsid w:val="009F0B5D"/>
    <w:rsid w:val="009F119D"/>
    <w:rsid w:val="009F1936"/>
    <w:rsid w:val="009F19C9"/>
    <w:rsid w:val="009F1ECA"/>
    <w:rsid w:val="009F2431"/>
    <w:rsid w:val="009F2590"/>
    <w:rsid w:val="009F2B27"/>
    <w:rsid w:val="009F2E26"/>
    <w:rsid w:val="009F37F4"/>
    <w:rsid w:val="009F4EB0"/>
    <w:rsid w:val="009F575D"/>
    <w:rsid w:val="009F6E26"/>
    <w:rsid w:val="00A0145D"/>
    <w:rsid w:val="00A01A35"/>
    <w:rsid w:val="00A01AF8"/>
    <w:rsid w:val="00A01D8D"/>
    <w:rsid w:val="00A021C2"/>
    <w:rsid w:val="00A02590"/>
    <w:rsid w:val="00A02BC7"/>
    <w:rsid w:val="00A032B7"/>
    <w:rsid w:val="00A034B0"/>
    <w:rsid w:val="00A0351A"/>
    <w:rsid w:val="00A04058"/>
    <w:rsid w:val="00A047DA"/>
    <w:rsid w:val="00A0636E"/>
    <w:rsid w:val="00A07587"/>
    <w:rsid w:val="00A07ACD"/>
    <w:rsid w:val="00A1115B"/>
    <w:rsid w:val="00A11200"/>
    <w:rsid w:val="00A137B1"/>
    <w:rsid w:val="00A1612E"/>
    <w:rsid w:val="00A174D0"/>
    <w:rsid w:val="00A17D39"/>
    <w:rsid w:val="00A20A60"/>
    <w:rsid w:val="00A222A3"/>
    <w:rsid w:val="00A222A7"/>
    <w:rsid w:val="00A226F7"/>
    <w:rsid w:val="00A23F73"/>
    <w:rsid w:val="00A25041"/>
    <w:rsid w:val="00A25A55"/>
    <w:rsid w:val="00A25B1B"/>
    <w:rsid w:val="00A2632B"/>
    <w:rsid w:val="00A27CDB"/>
    <w:rsid w:val="00A321F4"/>
    <w:rsid w:val="00A33324"/>
    <w:rsid w:val="00A34571"/>
    <w:rsid w:val="00A34795"/>
    <w:rsid w:val="00A350FF"/>
    <w:rsid w:val="00A37178"/>
    <w:rsid w:val="00A4085C"/>
    <w:rsid w:val="00A409D7"/>
    <w:rsid w:val="00A41151"/>
    <w:rsid w:val="00A42E3B"/>
    <w:rsid w:val="00A42F92"/>
    <w:rsid w:val="00A433A2"/>
    <w:rsid w:val="00A43A18"/>
    <w:rsid w:val="00A44164"/>
    <w:rsid w:val="00A5369D"/>
    <w:rsid w:val="00A53B53"/>
    <w:rsid w:val="00A53D27"/>
    <w:rsid w:val="00A53E34"/>
    <w:rsid w:val="00A54D10"/>
    <w:rsid w:val="00A55C02"/>
    <w:rsid w:val="00A60453"/>
    <w:rsid w:val="00A612C5"/>
    <w:rsid w:val="00A61335"/>
    <w:rsid w:val="00A6165F"/>
    <w:rsid w:val="00A6222A"/>
    <w:rsid w:val="00A6246C"/>
    <w:rsid w:val="00A64DC1"/>
    <w:rsid w:val="00A65A4B"/>
    <w:rsid w:val="00A6733D"/>
    <w:rsid w:val="00A70434"/>
    <w:rsid w:val="00A7136C"/>
    <w:rsid w:val="00A72D10"/>
    <w:rsid w:val="00A734C2"/>
    <w:rsid w:val="00A74258"/>
    <w:rsid w:val="00A75C2E"/>
    <w:rsid w:val="00A76EB0"/>
    <w:rsid w:val="00A80697"/>
    <w:rsid w:val="00A817E7"/>
    <w:rsid w:val="00A81987"/>
    <w:rsid w:val="00A82487"/>
    <w:rsid w:val="00A8355F"/>
    <w:rsid w:val="00A84116"/>
    <w:rsid w:val="00A85CB9"/>
    <w:rsid w:val="00A866CB"/>
    <w:rsid w:val="00A875A0"/>
    <w:rsid w:val="00A91230"/>
    <w:rsid w:val="00A9284F"/>
    <w:rsid w:val="00A92861"/>
    <w:rsid w:val="00A940BD"/>
    <w:rsid w:val="00A95CDD"/>
    <w:rsid w:val="00A95F8E"/>
    <w:rsid w:val="00A963D9"/>
    <w:rsid w:val="00AA14A9"/>
    <w:rsid w:val="00AA2699"/>
    <w:rsid w:val="00AA62E2"/>
    <w:rsid w:val="00AA68EE"/>
    <w:rsid w:val="00AA6BD1"/>
    <w:rsid w:val="00AA6D51"/>
    <w:rsid w:val="00AB053F"/>
    <w:rsid w:val="00AB17D3"/>
    <w:rsid w:val="00AB20B7"/>
    <w:rsid w:val="00AB3591"/>
    <w:rsid w:val="00AB3D9D"/>
    <w:rsid w:val="00AB3DD4"/>
    <w:rsid w:val="00AB42F9"/>
    <w:rsid w:val="00AB4C0C"/>
    <w:rsid w:val="00AC1640"/>
    <w:rsid w:val="00AC212B"/>
    <w:rsid w:val="00AC2307"/>
    <w:rsid w:val="00AC2C08"/>
    <w:rsid w:val="00AC4764"/>
    <w:rsid w:val="00AC498F"/>
    <w:rsid w:val="00AC52B1"/>
    <w:rsid w:val="00AC5EB0"/>
    <w:rsid w:val="00AC7952"/>
    <w:rsid w:val="00AD0867"/>
    <w:rsid w:val="00AD1337"/>
    <w:rsid w:val="00AD1664"/>
    <w:rsid w:val="00AD2034"/>
    <w:rsid w:val="00AD50EE"/>
    <w:rsid w:val="00AD68A1"/>
    <w:rsid w:val="00AE02D7"/>
    <w:rsid w:val="00AE0379"/>
    <w:rsid w:val="00AE0A1F"/>
    <w:rsid w:val="00AE0D15"/>
    <w:rsid w:val="00AE147A"/>
    <w:rsid w:val="00AE1874"/>
    <w:rsid w:val="00AE18DF"/>
    <w:rsid w:val="00AE1D7B"/>
    <w:rsid w:val="00AE3934"/>
    <w:rsid w:val="00AE704F"/>
    <w:rsid w:val="00AE76E5"/>
    <w:rsid w:val="00AE7B60"/>
    <w:rsid w:val="00AF1C6C"/>
    <w:rsid w:val="00AF2DD1"/>
    <w:rsid w:val="00AF3491"/>
    <w:rsid w:val="00AF38A7"/>
    <w:rsid w:val="00AF3DD9"/>
    <w:rsid w:val="00AF3FE7"/>
    <w:rsid w:val="00AF45DE"/>
    <w:rsid w:val="00AF578C"/>
    <w:rsid w:val="00AF57E4"/>
    <w:rsid w:val="00AF593A"/>
    <w:rsid w:val="00AF65FB"/>
    <w:rsid w:val="00AF6F26"/>
    <w:rsid w:val="00AF7F00"/>
    <w:rsid w:val="00B020EA"/>
    <w:rsid w:val="00B022B2"/>
    <w:rsid w:val="00B0236E"/>
    <w:rsid w:val="00B03A5B"/>
    <w:rsid w:val="00B03E56"/>
    <w:rsid w:val="00B047B2"/>
    <w:rsid w:val="00B047DF"/>
    <w:rsid w:val="00B05104"/>
    <w:rsid w:val="00B069DA"/>
    <w:rsid w:val="00B06E03"/>
    <w:rsid w:val="00B103A8"/>
    <w:rsid w:val="00B10493"/>
    <w:rsid w:val="00B105DD"/>
    <w:rsid w:val="00B10D16"/>
    <w:rsid w:val="00B10D67"/>
    <w:rsid w:val="00B11F5A"/>
    <w:rsid w:val="00B125EC"/>
    <w:rsid w:val="00B127C1"/>
    <w:rsid w:val="00B1395C"/>
    <w:rsid w:val="00B152A9"/>
    <w:rsid w:val="00B1546F"/>
    <w:rsid w:val="00B15745"/>
    <w:rsid w:val="00B15874"/>
    <w:rsid w:val="00B16F20"/>
    <w:rsid w:val="00B2090E"/>
    <w:rsid w:val="00B20980"/>
    <w:rsid w:val="00B214ED"/>
    <w:rsid w:val="00B226B8"/>
    <w:rsid w:val="00B2325B"/>
    <w:rsid w:val="00B23E5B"/>
    <w:rsid w:val="00B25732"/>
    <w:rsid w:val="00B26150"/>
    <w:rsid w:val="00B266F4"/>
    <w:rsid w:val="00B2671F"/>
    <w:rsid w:val="00B319CD"/>
    <w:rsid w:val="00B319F1"/>
    <w:rsid w:val="00B31E9B"/>
    <w:rsid w:val="00B320A3"/>
    <w:rsid w:val="00B344A4"/>
    <w:rsid w:val="00B34797"/>
    <w:rsid w:val="00B34C21"/>
    <w:rsid w:val="00B34F0B"/>
    <w:rsid w:val="00B352AC"/>
    <w:rsid w:val="00B356AE"/>
    <w:rsid w:val="00B35F35"/>
    <w:rsid w:val="00B37AD2"/>
    <w:rsid w:val="00B41788"/>
    <w:rsid w:val="00B41807"/>
    <w:rsid w:val="00B433A2"/>
    <w:rsid w:val="00B444F1"/>
    <w:rsid w:val="00B504DD"/>
    <w:rsid w:val="00B50E54"/>
    <w:rsid w:val="00B5172E"/>
    <w:rsid w:val="00B51AA1"/>
    <w:rsid w:val="00B51FEB"/>
    <w:rsid w:val="00B52283"/>
    <w:rsid w:val="00B53373"/>
    <w:rsid w:val="00B53472"/>
    <w:rsid w:val="00B53D91"/>
    <w:rsid w:val="00B54F58"/>
    <w:rsid w:val="00B55F9D"/>
    <w:rsid w:val="00B56107"/>
    <w:rsid w:val="00B56C7B"/>
    <w:rsid w:val="00B571AE"/>
    <w:rsid w:val="00B57E7D"/>
    <w:rsid w:val="00B60C0E"/>
    <w:rsid w:val="00B60DA3"/>
    <w:rsid w:val="00B61080"/>
    <w:rsid w:val="00B61402"/>
    <w:rsid w:val="00B6267E"/>
    <w:rsid w:val="00B63293"/>
    <w:rsid w:val="00B63356"/>
    <w:rsid w:val="00B63650"/>
    <w:rsid w:val="00B63861"/>
    <w:rsid w:val="00B64F9C"/>
    <w:rsid w:val="00B6602D"/>
    <w:rsid w:val="00B671D3"/>
    <w:rsid w:val="00B674F7"/>
    <w:rsid w:val="00B67F6A"/>
    <w:rsid w:val="00B70454"/>
    <w:rsid w:val="00B70808"/>
    <w:rsid w:val="00B713B2"/>
    <w:rsid w:val="00B71C07"/>
    <w:rsid w:val="00B73B4A"/>
    <w:rsid w:val="00B74325"/>
    <w:rsid w:val="00B74682"/>
    <w:rsid w:val="00B7529E"/>
    <w:rsid w:val="00B75581"/>
    <w:rsid w:val="00B76E2A"/>
    <w:rsid w:val="00B7775B"/>
    <w:rsid w:val="00B7796E"/>
    <w:rsid w:val="00B77B99"/>
    <w:rsid w:val="00B77FF8"/>
    <w:rsid w:val="00B805E2"/>
    <w:rsid w:val="00B809F0"/>
    <w:rsid w:val="00B829F1"/>
    <w:rsid w:val="00B8404D"/>
    <w:rsid w:val="00B84834"/>
    <w:rsid w:val="00B84FFB"/>
    <w:rsid w:val="00B8547F"/>
    <w:rsid w:val="00B86C46"/>
    <w:rsid w:val="00B86E54"/>
    <w:rsid w:val="00B86E95"/>
    <w:rsid w:val="00B874B5"/>
    <w:rsid w:val="00B87F7A"/>
    <w:rsid w:val="00B9028D"/>
    <w:rsid w:val="00B91F0F"/>
    <w:rsid w:val="00B93A49"/>
    <w:rsid w:val="00B93E32"/>
    <w:rsid w:val="00B95405"/>
    <w:rsid w:val="00B96365"/>
    <w:rsid w:val="00B9672A"/>
    <w:rsid w:val="00B9713B"/>
    <w:rsid w:val="00B9762A"/>
    <w:rsid w:val="00B97722"/>
    <w:rsid w:val="00B97769"/>
    <w:rsid w:val="00BA061F"/>
    <w:rsid w:val="00BA074F"/>
    <w:rsid w:val="00BA1ED4"/>
    <w:rsid w:val="00BA3CF9"/>
    <w:rsid w:val="00BA4051"/>
    <w:rsid w:val="00BA4F98"/>
    <w:rsid w:val="00BA5380"/>
    <w:rsid w:val="00BA5494"/>
    <w:rsid w:val="00BA54E7"/>
    <w:rsid w:val="00BA5C13"/>
    <w:rsid w:val="00BA6A86"/>
    <w:rsid w:val="00BA7AFA"/>
    <w:rsid w:val="00BB0020"/>
    <w:rsid w:val="00BB0389"/>
    <w:rsid w:val="00BB1925"/>
    <w:rsid w:val="00BB195A"/>
    <w:rsid w:val="00BB1DF9"/>
    <w:rsid w:val="00BB3715"/>
    <w:rsid w:val="00BB722B"/>
    <w:rsid w:val="00BB7ED9"/>
    <w:rsid w:val="00BC157B"/>
    <w:rsid w:val="00BC1C55"/>
    <w:rsid w:val="00BC3040"/>
    <w:rsid w:val="00BC3666"/>
    <w:rsid w:val="00BD0047"/>
    <w:rsid w:val="00BD07C4"/>
    <w:rsid w:val="00BD0BE6"/>
    <w:rsid w:val="00BD1411"/>
    <w:rsid w:val="00BD308B"/>
    <w:rsid w:val="00BD3AD4"/>
    <w:rsid w:val="00BD4702"/>
    <w:rsid w:val="00BD5054"/>
    <w:rsid w:val="00BD505C"/>
    <w:rsid w:val="00BD582E"/>
    <w:rsid w:val="00BD5B80"/>
    <w:rsid w:val="00BD6218"/>
    <w:rsid w:val="00BD650F"/>
    <w:rsid w:val="00BD742F"/>
    <w:rsid w:val="00BD777D"/>
    <w:rsid w:val="00BE0127"/>
    <w:rsid w:val="00BE0EF2"/>
    <w:rsid w:val="00BE1650"/>
    <w:rsid w:val="00BE3494"/>
    <w:rsid w:val="00BE4A7B"/>
    <w:rsid w:val="00BE546E"/>
    <w:rsid w:val="00BE56BD"/>
    <w:rsid w:val="00BE7AFB"/>
    <w:rsid w:val="00BF01EC"/>
    <w:rsid w:val="00BF03AB"/>
    <w:rsid w:val="00BF055B"/>
    <w:rsid w:val="00BF176F"/>
    <w:rsid w:val="00BF2986"/>
    <w:rsid w:val="00BF2D44"/>
    <w:rsid w:val="00BF3BF7"/>
    <w:rsid w:val="00BF47AC"/>
    <w:rsid w:val="00BF6F2C"/>
    <w:rsid w:val="00BF72F9"/>
    <w:rsid w:val="00C01180"/>
    <w:rsid w:val="00C05551"/>
    <w:rsid w:val="00C05B41"/>
    <w:rsid w:val="00C06409"/>
    <w:rsid w:val="00C06B8E"/>
    <w:rsid w:val="00C1107A"/>
    <w:rsid w:val="00C11117"/>
    <w:rsid w:val="00C1122A"/>
    <w:rsid w:val="00C112AE"/>
    <w:rsid w:val="00C11B42"/>
    <w:rsid w:val="00C12579"/>
    <w:rsid w:val="00C13D71"/>
    <w:rsid w:val="00C1412E"/>
    <w:rsid w:val="00C1551C"/>
    <w:rsid w:val="00C17EA3"/>
    <w:rsid w:val="00C206E3"/>
    <w:rsid w:val="00C21D5E"/>
    <w:rsid w:val="00C22599"/>
    <w:rsid w:val="00C2390A"/>
    <w:rsid w:val="00C23AF2"/>
    <w:rsid w:val="00C25279"/>
    <w:rsid w:val="00C25B27"/>
    <w:rsid w:val="00C25FB3"/>
    <w:rsid w:val="00C306CC"/>
    <w:rsid w:val="00C31A6D"/>
    <w:rsid w:val="00C3280C"/>
    <w:rsid w:val="00C33F2E"/>
    <w:rsid w:val="00C344D1"/>
    <w:rsid w:val="00C35CE0"/>
    <w:rsid w:val="00C371EB"/>
    <w:rsid w:val="00C41352"/>
    <w:rsid w:val="00C4141F"/>
    <w:rsid w:val="00C41C17"/>
    <w:rsid w:val="00C41CD0"/>
    <w:rsid w:val="00C42410"/>
    <w:rsid w:val="00C42625"/>
    <w:rsid w:val="00C42C57"/>
    <w:rsid w:val="00C43B2D"/>
    <w:rsid w:val="00C44417"/>
    <w:rsid w:val="00C46406"/>
    <w:rsid w:val="00C470A4"/>
    <w:rsid w:val="00C5013E"/>
    <w:rsid w:val="00C506EF"/>
    <w:rsid w:val="00C52435"/>
    <w:rsid w:val="00C52A0A"/>
    <w:rsid w:val="00C52B79"/>
    <w:rsid w:val="00C52E72"/>
    <w:rsid w:val="00C53270"/>
    <w:rsid w:val="00C56F28"/>
    <w:rsid w:val="00C57A36"/>
    <w:rsid w:val="00C62864"/>
    <w:rsid w:val="00C655DA"/>
    <w:rsid w:val="00C66E20"/>
    <w:rsid w:val="00C67944"/>
    <w:rsid w:val="00C706F3"/>
    <w:rsid w:val="00C7084A"/>
    <w:rsid w:val="00C7091A"/>
    <w:rsid w:val="00C716A3"/>
    <w:rsid w:val="00C717E4"/>
    <w:rsid w:val="00C71CEA"/>
    <w:rsid w:val="00C720A7"/>
    <w:rsid w:val="00C724A7"/>
    <w:rsid w:val="00C736D2"/>
    <w:rsid w:val="00C736EB"/>
    <w:rsid w:val="00C75192"/>
    <w:rsid w:val="00C76ACA"/>
    <w:rsid w:val="00C76F01"/>
    <w:rsid w:val="00C76F40"/>
    <w:rsid w:val="00C77FAB"/>
    <w:rsid w:val="00C812C9"/>
    <w:rsid w:val="00C81361"/>
    <w:rsid w:val="00C8138A"/>
    <w:rsid w:val="00C81696"/>
    <w:rsid w:val="00C838EA"/>
    <w:rsid w:val="00C83A81"/>
    <w:rsid w:val="00C83B3D"/>
    <w:rsid w:val="00C84505"/>
    <w:rsid w:val="00C8453B"/>
    <w:rsid w:val="00C8486A"/>
    <w:rsid w:val="00C849D4"/>
    <w:rsid w:val="00C84BF8"/>
    <w:rsid w:val="00C85200"/>
    <w:rsid w:val="00C85E1B"/>
    <w:rsid w:val="00C86975"/>
    <w:rsid w:val="00C87B29"/>
    <w:rsid w:val="00C9000D"/>
    <w:rsid w:val="00C91B75"/>
    <w:rsid w:val="00C91EA1"/>
    <w:rsid w:val="00C92002"/>
    <w:rsid w:val="00C925A6"/>
    <w:rsid w:val="00C92B65"/>
    <w:rsid w:val="00C92E26"/>
    <w:rsid w:val="00C9305B"/>
    <w:rsid w:val="00C93D3C"/>
    <w:rsid w:val="00C93E25"/>
    <w:rsid w:val="00C944FA"/>
    <w:rsid w:val="00C95C85"/>
    <w:rsid w:val="00C9659E"/>
    <w:rsid w:val="00C96E77"/>
    <w:rsid w:val="00C97632"/>
    <w:rsid w:val="00C97832"/>
    <w:rsid w:val="00CA0EB6"/>
    <w:rsid w:val="00CA1623"/>
    <w:rsid w:val="00CA2454"/>
    <w:rsid w:val="00CA25AA"/>
    <w:rsid w:val="00CA4680"/>
    <w:rsid w:val="00CA47E0"/>
    <w:rsid w:val="00CA49E9"/>
    <w:rsid w:val="00CA5A8F"/>
    <w:rsid w:val="00CA5BF9"/>
    <w:rsid w:val="00CA614B"/>
    <w:rsid w:val="00CA6D3E"/>
    <w:rsid w:val="00CA751F"/>
    <w:rsid w:val="00CA7AC3"/>
    <w:rsid w:val="00CB088E"/>
    <w:rsid w:val="00CB0F80"/>
    <w:rsid w:val="00CB1383"/>
    <w:rsid w:val="00CB1616"/>
    <w:rsid w:val="00CB1664"/>
    <w:rsid w:val="00CB18F8"/>
    <w:rsid w:val="00CB211B"/>
    <w:rsid w:val="00CB2E0D"/>
    <w:rsid w:val="00CB41E5"/>
    <w:rsid w:val="00CB4499"/>
    <w:rsid w:val="00CB480E"/>
    <w:rsid w:val="00CB62EC"/>
    <w:rsid w:val="00CB6712"/>
    <w:rsid w:val="00CB67AB"/>
    <w:rsid w:val="00CB7E6A"/>
    <w:rsid w:val="00CC14A0"/>
    <w:rsid w:val="00CC1D40"/>
    <w:rsid w:val="00CC267D"/>
    <w:rsid w:val="00CC2FDB"/>
    <w:rsid w:val="00CC344B"/>
    <w:rsid w:val="00CC3CC4"/>
    <w:rsid w:val="00CC5A75"/>
    <w:rsid w:val="00CC6619"/>
    <w:rsid w:val="00CD07ED"/>
    <w:rsid w:val="00CD414E"/>
    <w:rsid w:val="00CD49E9"/>
    <w:rsid w:val="00CD5DA1"/>
    <w:rsid w:val="00CD63F1"/>
    <w:rsid w:val="00CD6A3F"/>
    <w:rsid w:val="00CD6FB1"/>
    <w:rsid w:val="00CE0B51"/>
    <w:rsid w:val="00CE2CF9"/>
    <w:rsid w:val="00CE3DC6"/>
    <w:rsid w:val="00CE4FE5"/>
    <w:rsid w:val="00CE5DB1"/>
    <w:rsid w:val="00CE5DCC"/>
    <w:rsid w:val="00CE6196"/>
    <w:rsid w:val="00CE6585"/>
    <w:rsid w:val="00CE6B7C"/>
    <w:rsid w:val="00CE6CE7"/>
    <w:rsid w:val="00CE72C4"/>
    <w:rsid w:val="00CE7528"/>
    <w:rsid w:val="00CE756D"/>
    <w:rsid w:val="00CF00FE"/>
    <w:rsid w:val="00CF0C87"/>
    <w:rsid w:val="00CF1125"/>
    <w:rsid w:val="00CF1B55"/>
    <w:rsid w:val="00CF2358"/>
    <w:rsid w:val="00CF2FA4"/>
    <w:rsid w:val="00CF4872"/>
    <w:rsid w:val="00CF4A46"/>
    <w:rsid w:val="00CF4DD1"/>
    <w:rsid w:val="00CF5958"/>
    <w:rsid w:val="00CF65CB"/>
    <w:rsid w:val="00CF6EB7"/>
    <w:rsid w:val="00CF6F46"/>
    <w:rsid w:val="00CF780F"/>
    <w:rsid w:val="00D01E8A"/>
    <w:rsid w:val="00D023E3"/>
    <w:rsid w:val="00D032CD"/>
    <w:rsid w:val="00D04145"/>
    <w:rsid w:val="00D05342"/>
    <w:rsid w:val="00D05C44"/>
    <w:rsid w:val="00D06E53"/>
    <w:rsid w:val="00D07EFE"/>
    <w:rsid w:val="00D10997"/>
    <w:rsid w:val="00D1374E"/>
    <w:rsid w:val="00D14001"/>
    <w:rsid w:val="00D14F4F"/>
    <w:rsid w:val="00D14FF1"/>
    <w:rsid w:val="00D16C02"/>
    <w:rsid w:val="00D20475"/>
    <w:rsid w:val="00D209E1"/>
    <w:rsid w:val="00D2238D"/>
    <w:rsid w:val="00D2256D"/>
    <w:rsid w:val="00D22A47"/>
    <w:rsid w:val="00D250E4"/>
    <w:rsid w:val="00D26014"/>
    <w:rsid w:val="00D26130"/>
    <w:rsid w:val="00D2736E"/>
    <w:rsid w:val="00D2743C"/>
    <w:rsid w:val="00D31D17"/>
    <w:rsid w:val="00D330CD"/>
    <w:rsid w:val="00D33210"/>
    <w:rsid w:val="00D34837"/>
    <w:rsid w:val="00D34B46"/>
    <w:rsid w:val="00D351EF"/>
    <w:rsid w:val="00D37971"/>
    <w:rsid w:val="00D379C4"/>
    <w:rsid w:val="00D42FC6"/>
    <w:rsid w:val="00D43036"/>
    <w:rsid w:val="00D43561"/>
    <w:rsid w:val="00D438CF"/>
    <w:rsid w:val="00D44365"/>
    <w:rsid w:val="00D44808"/>
    <w:rsid w:val="00D45096"/>
    <w:rsid w:val="00D459D1"/>
    <w:rsid w:val="00D46462"/>
    <w:rsid w:val="00D46AD3"/>
    <w:rsid w:val="00D46F9F"/>
    <w:rsid w:val="00D47916"/>
    <w:rsid w:val="00D502F4"/>
    <w:rsid w:val="00D5072D"/>
    <w:rsid w:val="00D50845"/>
    <w:rsid w:val="00D50887"/>
    <w:rsid w:val="00D5168F"/>
    <w:rsid w:val="00D51742"/>
    <w:rsid w:val="00D5194F"/>
    <w:rsid w:val="00D5215C"/>
    <w:rsid w:val="00D522EE"/>
    <w:rsid w:val="00D52F86"/>
    <w:rsid w:val="00D531D6"/>
    <w:rsid w:val="00D535DF"/>
    <w:rsid w:val="00D53741"/>
    <w:rsid w:val="00D54604"/>
    <w:rsid w:val="00D54DAD"/>
    <w:rsid w:val="00D55D27"/>
    <w:rsid w:val="00D56F1E"/>
    <w:rsid w:val="00D5731C"/>
    <w:rsid w:val="00D578C9"/>
    <w:rsid w:val="00D61C0F"/>
    <w:rsid w:val="00D629E1"/>
    <w:rsid w:val="00D63A6F"/>
    <w:rsid w:val="00D64479"/>
    <w:rsid w:val="00D64786"/>
    <w:rsid w:val="00D64EFB"/>
    <w:rsid w:val="00D70899"/>
    <w:rsid w:val="00D718E7"/>
    <w:rsid w:val="00D727F4"/>
    <w:rsid w:val="00D73434"/>
    <w:rsid w:val="00D74B1A"/>
    <w:rsid w:val="00D752CC"/>
    <w:rsid w:val="00D7639C"/>
    <w:rsid w:val="00D77E8D"/>
    <w:rsid w:val="00D77EB2"/>
    <w:rsid w:val="00D806BB"/>
    <w:rsid w:val="00D8156F"/>
    <w:rsid w:val="00D816C5"/>
    <w:rsid w:val="00D81DDF"/>
    <w:rsid w:val="00D834FC"/>
    <w:rsid w:val="00D8434C"/>
    <w:rsid w:val="00D84FC9"/>
    <w:rsid w:val="00D85056"/>
    <w:rsid w:val="00D85BD3"/>
    <w:rsid w:val="00D85C32"/>
    <w:rsid w:val="00D876F8"/>
    <w:rsid w:val="00D912BF"/>
    <w:rsid w:val="00D93E2B"/>
    <w:rsid w:val="00D93EB9"/>
    <w:rsid w:val="00D951F5"/>
    <w:rsid w:val="00D959A9"/>
    <w:rsid w:val="00DA01B9"/>
    <w:rsid w:val="00DA0516"/>
    <w:rsid w:val="00DA0A1B"/>
    <w:rsid w:val="00DA3DF3"/>
    <w:rsid w:val="00DA4936"/>
    <w:rsid w:val="00DA4B96"/>
    <w:rsid w:val="00DA4BC1"/>
    <w:rsid w:val="00DB0EC8"/>
    <w:rsid w:val="00DB1E0F"/>
    <w:rsid w:val="00DB3420"/>
    <w:rsid w:val="00DB3D93"/>
    <w:rsid w:val="00DB7D57"/>
    <w:rsid w:val="00DB7FFD"/>
    <w:rsid w:val="00DC0BB4"/>
    <w:rsid w:val="00DC1839"/>
    <w:rsid w:val="00DC190C"/>
    <w:rsid w:val="00DC1C34"/>
    <w:rsid w:val="00DC278A"/>
    <w:rsid w:val="00DC2CC8"/>
    <w:rsid w:val="00DC3D8C"/>
    <w:rsid w:val="00DC4816"/>
    <w:rsid w:val="00DC4AC4"/>
    <w:rsid w:val="00DC517F"/>
    <w:rsid w:val="00DC6729"/>
    <w:rsid w:val="00DC716D"/>
    <w:rsid w:val="00DC7D81"/>
    <w:rsid w:val="00DD0421"/>
    <w:rsid w:val="00DD0520"/>
    <w:rsid w:val="00DD0F4B"/>
    <w:rsid w:val="00DD1A8B"/>
    <w:rsid w:val="00DD32CC"/>
    <w:rsid w:val="00DD713B"/>
    <w:rsid w:val="00DD78CC"/>
    <w:rsid w:val="00DD7B87"/>
    <w:rsid w:val="00DE0771"/>
    <w:rsid w:val="00DE19C5"/>
    <w:rsid w:val="00DE5956"/>
    <w:rsid w:val="00DE5F53"/>
    <w:rsid w:val="00DE6670"/>
    <w:rsid w:val="00DE6CA5"/>
    <w:rsid w:val="00DE756E"/>
    <w:rsid w:val="00DE7969"/>
    <w:rsid w:val="00DF1839"/>
    <w:rsid w:val="00DF3656"/>
    <w:rsid w:val="00DF393C"/>
    <w:rsid w:val="00DF5A6B"/>
    <w:rsid w:val="00DF7232"/>
    <w:rsid w:val="00E003EB"/>
    <w:rsid w:val="00E01BE7"/>
    <w:rsid w:val="00E034D8"/>
    <w:rsid w:val="00E03B87"/>
    <w:rsid w:val="00E0496E"/>
    <w:rsid w:val="00E04F02"/>
    <w:rsid w:val="00E05DC3"/>
    <w:rsid w:val="00E10029"/>
    <w:rsid w:val="00E100C9"/>
    <w:rsid w:val="00E11A27"/>
    <w:rsid w:val="00E11FA9"/>
    <w:rsid w:val="00E1579F"/>
    <w:rsid w:val="00E15878"/>
    <w:rsid w:val="00E17292"/>
    <w:rsid w:val="00E17316"/>
    <w:rsid w:val="00E20000"/>
    <w:rsid w:val="00E2064A"/>
    <w:rsid w:val="00E2098C"/>
    <w:rsid w:val="00E20EFC"/>
    <w:rsid w:val="00E210D4"/>
    <w:rsid w:val="00E22023"/>
    <w:rsid w:val="00E229C2"/>
    <w:rsid w:val="00E22BDD"/>
    <w:rsid w:val="00E23FB6"/>
    <w:rsid w:val="00E25FDA"/>
    <w:rsid w:val="00E27EEE"/>
    <w:rsid w:val="00E30036"/>
    <w:rsid w:val="00E30FA2"/>
    <w:rsid w:val="00E333F2"/>
    <w:rsid w:val="00E33DE0"/>
    <w:rsid w:val="00E33F92"/>
    <w:rsid w:val="00E35007"/>
    <w:rsid w:val="00E35636"/>
    <w:rsid w:val="00E37243"/>
    <w:rsid w:val="00E420A8"/>
    <w:rsid w:val="00E4238A"/>
    <w:rsid w:val="00E4401C"/>
    <w:rsid w:val="00E44400"/>
    <w:rsid w:val="00E463DB"/>
    <w:rsid w:val="00E474EC"/>
    <w:rsid w:val="00E50012"/>
    <w:rsid w:val="00E50079"/>
    <w:rsid w:val="00E512B1"/>
    <w:rsid w:val="00E52438"/>
    <w:rsid w:val="00E53752"/>
    <w:rsid w:val="00E54A73"/>
    <w:rsid w:val="00E54B8D"/>
    <w:rsid w:val="00E54C30"/>
    <w:rsid w:val="00E55C6B"/>
    <w:rsid w:val="00E56529"/>
    <w:rsid w:val="00E5682E"/>
    <w:rsid w:val="00E568D9"/>
    <w:rsid w:val="00E56979"/>
    <w:rsid w:val="00E56E25"/>
    <w:rsid w:val="00E61FB5"/>
    <w:rsid w:val="00E63899"/>
    <w:rsid w:val="00E64127"/>
    <w:rsid w:val="00E65597"/>
    <w:rsid w:val="00E65945"/>
    <w:rsid w:val="00E66F9A"/>
    <w:rsid w:val="00E70403"/>
    <w:rsid w:val="00E70516"/>
    <w:rsid w:val="00E71071"/>
    <w:rsid w:val="00E71606"/>
    <w:rsid w:val="00E71A57"/>
    <w:rsid w:val="00E72487"/>
    <w:rsid w:val="00E75188"/>
    <w:rsid w:val="00E754A9"/>
    <w:rsid w:val="00E75F53"/>
    <w:rsid w:val="00E76453"/>
    <w:rsid w:val="00E76760"/>
    <w:rsid w:val="00E816C7"/>
    <w:rsid w:val="00E82868"/>
    <w:rsid w:val="00E82CDA"/>
    <w:rsid w:val="00E85F6C"/>
    <w:rsid w:val="00E860E0"/>
    <w:rsid w:val="00E860EC"/>
    <w:rsid w:val="00E8727E"/>
    <w:rsid w:val="00E87402"/>
    <w:rsid w:val="00E90BB7"/>
    <w:rsid w:val="00E915EF"/>
    <w:rsid w:val="00E91D48"/>
    <w:rsid w:val="00E926DB"/>
    <w:rsid w:val="00E9278E"/>
    <w:rsid w:val="00E92886"/>
    <w:rsid w:val="00E930DD"/>
    <w:rsid w:val="00E946AF"/>
    <w:rsid w:val="00E94E15"/>
    <w:rsid w:val="00E954B3"/>
    <w:rsid w:val="00EA12E2"/>
    <w:rsid w:val="00EA20FC"/>
    <w:rsid w:val="00EA2416"/>
    <w:rsid w:val="00EA2615"/>
    <w:rsid w:val="00EA26D6"/>
    <w:rsid w:val="00EA33DC"/>
    <w:rsid w:val="00EA4214"/>
    <w:rsid w:val="00EA5448"/>
    <w:rsid w:val="00EA60E9"/>
    <w:rsid w:val="00EA694E"/>
    <w:rsid w:val="00EA6CA7"/>
    <w:rsid w:val="00EA7D8B"/>
    <w:rsid w:val="00EB0520"/>
    <w:rsid w:val="00EB0A7C"/>
    <w:rsid w:val="00EB1364"/>
    <w:rsid w:val="00EB20C6"/>
    <w:rsid w:val="00EB26FE"/>
    <w:rsid w:val="00EB451C"/>
    <w:rsid w:val="00EB4A14"/>
    <w:rsid w:val="00EB4E52"/>
    <w:rsid w:val="00EB5256"/>
    <w:rsid w:val="00EB5A18"/>
    <w:rsid w:val="00EB6678"/>
    <w:rsid w:val="00EB6794"/>
    <w:rsid w:val="00EB6A56"/>
    <w:rsid w:val="00EB7046"/>
    <w:rsid w:val="00EC0E52"/>
    <w:rsid w:val="00EC19A1"/>
    <w:rsid w:val="00EC2141"/>
    <w:rsid w:val="00EC2620"/>
    <w:rsid w:val="00EC2734"/>
    <w:rsid w:val="00EC5412"/>
    <w:rsid w:val="00EC5812"/>
    <w:rsid w:val="00EC6A28"/>
    <w:rsid w:val="00EC7A02"/>
    <w:rsid w:val="00EC7DDF"/>
    <w:rsid w:val="00EC7EE7"/>
    <w:rsid w:val="00ED01DA"/>
    <w:rsid w:val="00ED13D7"/>
    <w:rsid w:val="00ED18E8"/>
    <w:rsid w:val="00ED1DB1"/>
    <w:rsid w:val="00ED2D58"/>
    <w:rsid w:val="00ED39A7"/>
    <w:rsid w:val="00ED427A"/>
    <w:rsid w:val="00ED4A0C"/>
    <w:rsid w:val="00ED50E5"/>
    <w:rsid w:val="00ED5A32"/>
    <w:rsid w:val="00EE0C2A"/>
    <w:rsid w:val="00EE132E"/>
    <w:rsid w:val="00EE1527"/>
    <w:rsid w:val="00EE2149"/>
    <w:rsid w:val="00EE2BD8"/>
    <w:rsid w:val="00EE3F29"/>
    <w:rsid w:val="00EE4691"/>
    <w:rsid w:val="00EE47A1"/>
    <w:rsid w:val="00EE5C1C"/>
    <w:rsid w:val="00EE6EDD"/>
    <w:rsid w:val="00EF01CB"/>
    <w:rsid w:val="00EF16BD"/>
    <w:rsid w:val="00EF24F8"/>
    <w:rsid w:val="00EF28D4"/>
    <w:rsid w:val="00EF2906"/>
    <w:rsid w:val="00EF3F83"/>
    <w:rsid w:val="00EF44A5"/>
    <w:rsid w:val="00EF58AA"/>
    <w:rsid w:val="00EF5FBF"/>
    <w:rsid w:val="00EF7AC3"/>
    <w:rsid w:val="00F007FD"/>
    <w:rsid w:val="00F0156F"/>
    <w:rsid w:val="00F0186C"/>
    <w:rsid w:val="00F01E7A"/>
    <w:rsid w:val="00F02D4E"/>
    <w:rsid w:val="00F03526"/>
    <w:rsid w:val="00F03A25"/>
    <w:rsid w:val="00F0680D"/>
    <w:rsid w:val="00F06947"/>
    <w:rsid w:val="00F073DC"/>
    <w:rsid w:val="00F10105"/>
    <w:rsid w:val="00F11173"/>
    <w:rsid w:val="00F117C1"/>
    <w:rsid w:val="00F11A25"/>
    <w:rsid w:val="00F137F0"/>
    <w:rsid w:val="00F13E9B"/>
    <w:rsid w:val="00F14079"/>
    <w:rsid w:val="00F14AE4"/>
    <w:rsid w:val="00F151B6"/>
    <w:rsid w:val="00F153FC"/>
    <w:rsid w:val="00F1683E"/>
    <w:rsid w:val="00F174C1"/>
    <w:rsid w:val="00F20E13"/>
    <w:rsid w:val="00F23359"/>
    <w:rsid w:val="00F24D1B"/>
    <w:rsid w:val="00F258F0"/>
    <w:rsid w:val="00F26A77"/>
    <w:rsid w:val="00F272C3"/>
    <w:rsid w:val="00F3006E"/>
    <w:rsid w:val="00F3058B"/>
    <w:rsid w:val="00F32EA9"/>
    <w:rsid w:val="00F3440E"/>
    <w:rsid w:val="00F356A3"/>
    <w:rsid w:val="00F3794F"/>
    <w:rsid w:val="00F400F2"/>
    <w:rsid w:val="00F408EA"/>
    <w:rsid w:val="00F414D6"/>
    <w:rsid w:val="00F4183D"/>
    <w:rsid w:val="00F4228E"/>
    <w:rsid w:val="00F42441"/>
    <w:rsid w:val="00F430B0"/>
    <w:rsid w:val="00F4458E"/>
    <w:rsid w:val="00F45070"/>
    <w:rsid w:val="00F47E77"/>
    <w:rsid w:val="00F50570"/>
    <w:rsid w:val="00F505D0"/>
    <w:rsid w:val="00F50A17"/>
    <w:rsid w:val="00F50FB1"/>
    <w:rsid w:val="00F518F6"/>
    <w:rsid w:val="00F51F58"/>
    <w:rsid w:val="00F52668"/>
    <w:rsid w:val="00F5323C"/>
    <w:rsid w:val="00F5411A"/>
    <w:rsid w:val="00F545D4"/>
    <w:rsid w:val="00F55440"/>
    <w:rsid w:val="00F562B1"/>
    <w:rsid w:val="00F57E4E"/>
    <w:rsid w:val="00F57FF8"/>
    <w:rsid w:val="00F61560"/>
    <w:rsid w:val="00F62086"/>
    <w:rsid w:val="00F638DA"/>
    <w:rsid w:val="00F640CA"/>
    <w:rsid w:val="00F656AC"/>
    <w:rsid w:val="00F67BBE"/>
    <w:rsid w:val="00F72677"/>
    <w:rsid w:val="00F76451"/>
    <w:rsid w:val="00F76552"/>
    <w:rsid w:val="00F776D4"/>
    <w:rsid w:val="00F80274"/>
    <w:rsid w:val="00F807CE"/>
    <w:rsid w:val="00F809F9"/>
    <w:rsid w:val="00F82E1D"/>
    <w:rsid w:val="00F831C1"/>
    <w:rsid w:val="00F84088"/>
    <w:rsid w:val="00F855DC"/>
    <w:rsid w:val="00F86C9B"/>
    <w:rsid w:val="00F906C1"/>
    <w:rsid w:val="00F90A8A"/>
    <w:rsid w:val="00F9118A"/>
    <w:rsid w:val="00F91A03"/>
    <w:rsid w:val="00F92F5A"/>
    <w:rsid w:val="00F9423B"/>
    <w:rsid w:val="00F9531B"/>
    <w:rsid w:val="00F95E36"/>
    <w:rsid w:val="00F96094"/>
    <w:rsid w:val="00F978AD"/>
    <w:rsid w:val="00F978F9"/>
    <w:rsid w:val="00FA2E51"/>
    <w:rsid w:val="00FA2F40"/>
    <w:rsid w:val="00FA3034"/>
    <w:rsid w:val="00FA35CE"/>
    <w:rsid w:val="00FA4DC8"/>
    <w:rsid w:val="00FA4ED4"/>
    <w:rsid w:val="00FA54D3"/>
    <w:rsid w:val="00FA5CDA"/>
    <w:rsid w:val="00FA6572"/>
    <w:rsid w:val="00FA75DE"/>
    <w:rsid w:val="00FB0871"/>
    <w:rsid w:val="00FB0EFB"/>
    <w:rsid w:val="00FB3795"/>
    <w:rsid w:val="00FB3BB7"/>
    <w:rsid w:val="00FB4AAA"/>
    <w:rsid w:val="00FB4AAF"/>
    <w:rsid w:val="00FB4FB4"/>
    <w:rsid w:val="00FB5EAE"/>
    <w:rsid w:val="00FB6DDD"/>
    <w:rsid w:val="00FB734D"/>
    <w:rsid w:val="00FB7504"/>
    <w:rsid w:val="00FB781F"/>
    <w:rsid w:val="00FC0144"/>
    <w:rsid w:val="00FC0E9B"/>
    <w:rsid w:val="00FC1EC9"/>
    <w:rsid w:val="00FC2E4A"/>
    <w:rsid w:val="00FC2EA1"/>
    <w:rsid w:val="00FC2F1C"/>
    <w:rsid w:val="00FC451C"/>
    <w:rsid w:val="00FC5C3E"/>
    <w:rsid w:val="00FC7294"/>
    <w:rsid w:val="00FD039E"/>
    <w:rsid w:val="00FD0F56"/>
    <w:rsid w:val="00FD0FD2"/>
    <w:rsid w:val="00FD1231"/>
    <w:rsid w:val="00FD1EC8"/>
    <w:rsid w:val="00FD1FE3"/>
    <w:rsid w:val="00FD2476"/>
    <w:rsid w:val="00FD2B2B"/>
    <w:rsid w:val="00FD37D1"/>
    <w:rsid w:val="00FD3ADA"/>
    <w:rsid w:val="00FD43FB"/>
    <w:rsid w:val="00FD7179"/>
    <w:rsid w:val="00FE007E"/>
    <w:rsid w:val="00FE1B0D"/>
    <w:rsid w:val="00FE249A"/>
    <w:rsid w:val="00FE26DE"/>
    <w:rsid w:val="00FE4092"/>
    <w:rsid w:val="00FE4650"/>
    <w:rsid w:val="00FE4B04"/>
    <w:rsid w:val="00FE566E"/>
    <w:rsid w:val="00FE595A"/>
    <w:rsid w:val="00FE6773"/>
    <w:rsid w:val="00FF19E7"/>
    <w:rsid w:val="00FF3CB3"/>
    <w:rsid w:val="00FF4723"/>
    <w:rsid w:val="00FF6106"/>
    <w:rsid w:val="00FF656F"/>
    <w:rsid w:val="00FF7515"/>
    <w:rsid w:val="00FF764D"/>
    <w:rsid w:val="00FF7980"/>
    <w:rsid w:val="010007BC"/>
    <w:rsid w:val="01463B2F"/>
    <w:rsid w:val="01554E31"/>
    <w:rsid w:val="0172021E"/>
    <w:rsid w:val="01832BD1"/>
    <w:rsid w:val="01853EAE"/>
    <w:rsid w:val="024F4B95"/>
    <w:rsid w:val="02557C87"/>
    <w:rsid w:val="02593EB9"/>
    <w:rsid w:val="02663C42"/>
    <w:rsid w:val="02810E1D"/>
    <w:rsid w:val="02836546"/>
    <w:rsid w:val="02C96DFB"/>
    <w:rsid w:val="02D144DB"/>
    <w:rsid w:val="02D36227"/>
    <w:rsid w:val="02D423AE"/>
    <w:rsid w:val="03066623"/>
    <w:rsid w:val="03B976C1"/>
    <w:rsid w:val="03F22BAC"/>
    <w:rsid w:val="043A2E49"/>
    <w:rsid w:val="04723885"/>
    <w:rsid w:val="04E462EE"/>
    <w:rsid w:val="053D72FE"/>
    <w:rsid w:val="054F783A"/>
    <w:rsid w:val="05916992"/>
    <w:rsid w:val="05CA098C"/>
    <w:rsid w:val="05F40659"/>
    <w:rsid w:val="070870BF"/>
    <w:rsid w:val="07FB516D"/>
    <w:rsid w:val="08372973"/>
    <w:rsid w:val="085C1256"/>
    <w:rsid w:val="08A70B11"/>
    <w:rsid w:val="095115F7"/>
    <w:rsid w:val="0954126E"/>
    <w:rsid w:val="09705BB4"/>
    <w:rsid w:val="09A267E8"/>
    <w:rsid w:val="09D35A0C"/>
    <w:rsid w:val="09D74B7F"/>
    <w:rsid w:val="09E25910"/>
    <w:rsid w:val="09ED1E82"/>
    <w:rsid w:val="0A293039"/>
    <w:rsid w:val="0A560088"/>
    <w:rsid w:val="0A910A18"/>
    <w:rsid w:val="0B53567D"/>
    <w:rsid w:val="0B7015A0"/>
    <w:rsid w:val="0B792C38"/>
    <w:rsid w:val="0BCA5242"/>
    <w:rsid w:val="0C523489"/>
    <w:rsid w:val="0C777BCF"/>
    <w:rsid w:val="0C914243"/>
    <w:rsid w:val="0CB54913"/>
    <w:rsid w:val="0D4117A9"/>
    <w:rsid w:val="0D850118"/>
    <w:rsid w:val="0E052440"/>
    <w:rsid w:val="0E410F02"/>
    <w:rsid w:val="0E790F0E"/>
    <w:rsid w:val="0E890860"/>
    <w:rsid w:val="0E9C4706"/>
    <w:rsid w:val="0EAE43CE"/>
    <w:rsid w:val="0F0C26D7"/>
    <w:rsid w:val="0F1946D2"/>
    <w:rsid w:val="0FAF47B0"/>
    <w:rsid w:val="0FDA5C70"/>
    <w:rsid w:val="102977CE"/>
    <w:rsid w:val="1032252F"/>
    <w:rsid w:val="10975F19"/>
    <w:rsid w:val="10BF23C9"/>
    <w:rsid w:val="11120095"/>
    <w:rsid w:val="115578A6"/>
    <w:rsid w:val="11AC6C15"/>
    <w:rsid w:val="126B219B"/>
    <w:rsid w:val="1286081A"/>
    <w:rsid w:val="12916C5D"/>
    <w:rsid w:val="129571CC"/>
    <w:rsid w:val="12D51B21"/>
    <w:rsid w:val="12D90460"/>
    <w:rsid w:val="13B74BB7"/>
    <w:rsid w:val="14095116"/>
    <w:rsid w:val="148B578A"/>
    <w:rsid w:val="14907B69"/>
    <w:rsid w:val="15183955"/>
    <w:rsid w:val="15580A35"/>
    <w:rsid w:val="15831056"/>
    <w:rsid w:val="15854EC7"/>
    <w:rsid w:val="158559A3"/>
    <w:rsid w:val="158D5FF6"/>
    <w:rsid w:val="15962639"/>
    <w:rsid w:val="15C7192B"/>
    <w:rsid w:val="15CE436D"/>
    <w:rsid w:val="161F5B40"/>
    <w:rsid w:val="16213887"/>
    <w:rsid w:val="164A5C0E"/>
    <w:rsid w:val="16DD0F15"/>
    <w:rsid w:val="16ED6288"/>
    <w:rsid w:val="174F4E8C"/>
    <w:rsid w:val="17AE637F"/>
    <w:rsid w:val="17C7485D"/>
    <w:rsid w:val="17DF02C7"/>
    <w:rsid w:val="181A30AD"/>
    <w:rsid w:val="18523385"/>
    <w:rsid w:val="186212EE"/>
    <w:rsid w:val="188620B3"/>
    <w:rsid w:val="18BE6FE1"/>
    <w:rsid w:val="191C4576"/>
    <w:rsid w:val="193261D5"/>
    <w:rsid w:val="193D2DCB"/>
    <w:rsid w:val="19E77DE9"/>
    <w:rsid w:val="19E9789A"/>
    <w:rsid w:val="1A006B5E"/>
    <w:rsid w:val="1A55661F"/>
    <w:rsid w:val="1A5853DE"/>
    <w:rsid w:val="1AA67C95"/>
    <w:rsid w:val="1B3F4C47"/>
    <w:rsid w:val="1B623E92"/>
    <w:rsid w:val="1B666B63"/>
    <w:rsid w:val="1B723E2B"/>
    <w:rsid w:val="1B7425E8"/>
    <w:rsid w:val="1BB90178"/>
    <w:rsid w:val="1C0A335D"/>
    <w:rsid w:val="1C146065"/>
    <w:rsid w:val="1C334B81"/>
    <w:rsid w:val="1C3C28EE"/>
    <w:rsid w:val="1C885957"/>
    <w:rsid w:val="1C8A06FF"/>
    <w:rsid w:val="1CCD4B07"/>
    <w:rsid w:val="1CD25F77"/>
    <w:rsid w:val="1CEC6E5A"/>
    <w:rsid w:val="1D39557D"/>
    <w:rsid w:val="1D5A68FA"/>
    <w:rsid w:val="1D984D14"/>
    <w:rsid w:val="1DAA374E"/>
    <w:rsid w:val="1E3B78D6"/>
    <w:rsid w:val="1E744063"/>
    <w:rsid w:val="1EBA7398"/>
    <w:rsid w:val="1EE9106A"/>
    <w:rsid w:val="1EF26D49"/>
    <w:rsid w:val="1EF71CE6"/>
    <w:rsid w:val="1F2B2044"/>
    <w:rsid w:val="1FB70E2D"/>
    <w:rsid w:val="1FEF1CD2"/>
    <w:rsid w:val="20095DF8"/>
    <w:rsid w:val="201575E8"/>
    <w:rsid w:val="20280C28"/>
    <w:rsid w:val="20CC5161"/>
    <w:rsid w:val="20EE3329"/>
    <w:rsid w:val="20FE49BC"/>
    <w:rsid w:val="21176CFB"/>
    <w:rsid w:val="2118082F"/>
    <w:rsid w:val="21981E9D"/>
    <w:rsid w:val="222D7847"/>
    <w:rsid w:val="227E248B"/>
    <w:rsid w:val="233C10C1"/>
    <w:rsid w:val="2349355B"/>
    <w:rsid w:val="23500542"/>
    <w:rsid w:val="2351336A"/>
    <w:rsid w:val="243120CD"/>
    <w:rsid w:val="245723E0"/>
    <w:rsid w:val="24677F87"/>
    <w:rsid w:val="24DC20BC"/>
    <w:rsid w:val="24E43E28"/>
    <w:rsid w:val="250B64DF"/>
    <w:rsid w:val="25A479F8"/>
    <w:rsid w:val="26141BC9"/>
    <w:rsid w:val="268C786C"/>
    <w:rsid w:val="26AA44F0"/>
    <w:rsid w:val="26CE6DD3"/>
    <w:rsid w:val="270A69E3"/>
    <w:rsid w:val="275263C3"/>
    <w:rsid w:val="27681C59"/>
    <w:rsid w:val="27E91FE6"/>
    <w:rsid w:val="27FB26B6"/>
    <w:rsid w:val="280242A4"/>
    <w:rsid w:val="288602EB"/>
    <w:rsid w:val="28AA66B5"/>
    <w:rsid w:val="294846FF"/>
    <w:rsid w:val="29A6460A"/>
    <w:rsid w:val="29B42C36"/>
    <w:rsid w:val="29D909D6"/>
    <w:rsid w:val="29E46437"/>
    <w:rsid w:val="2A017633"/>
    <w:rsid w:val="2A2C10BF"/>
    <w:rsid w:val="2AAC4091"/>
    <w:rsid w:val="2B1441A5"/>
    <w:rsid w:val="2B624AD9"/>
    <w:rsid w:val="2B893A43"/>
    <w:rsid w:val="2BA60741"/>
    <w:rsid w:val="2CC70BF3"/>
    <w:rsid w:val="2CDB314B"/>
    <w:rsid w:val="2CEF0F54"/>
    <w:rsid w:val="2CF247D4"/>
    <w:rsid w:val="2D087D81"/>
    <w:rsid w:val="2D204D1E"/>
    <w:rsid w:val="2D3227EF"/>
    <w:rsid w:val="2D5C25E4"/>
    <w:rsid w:val="2D917C09"/>
    <w:rsid w:val="2DC12ACB"/>
    <w:rsid w:val="2DC3077E"/>
    <w:rsid w:val="2E0E6DB8"/>
    <w:rsid w:val="2E6D510D"/>
    <w:rsid w:val="2E7146D7"/>
    <w:rsid w:val="2E7964DC"/>
    <w:rsid w:val="2E9B0165"/>
    <w:rsid w:val="2F0E79BC"/>
    <w:rsid w:val="2F6F3887"/>
    <w:rsid w:val="2FA60532"/>
    <w:rsid w:val="2FB60253"/>
    <w:rsid w:val="2FFB47E6"/>
    <w:rsid w:val="307D2887"/>
    <w:rsid w:val="309C4800"/>
    <w:rsid w:val="315A43A9"/>
    <w:rsid w:val="31626D83"/>
    <w:rsid w:val="316B1C79"/>
    <w:rsid w:val="318D150A"/>
    <w:rsid w:val="31AA329C"/>
    <w:rsid w:val="31B00187"/>
    <w:rsid w:val="31D81BDA"/>
    <w:rsid w:val="32742355"/>
    <w:rsid w:val="327B6D72"/>
    <w:rsid w:val="32BF68D3"/>
    <w:rsid w:val="32D53E77"/>
    <w:rsid w:val="32F40F46"/>
    <w:rsid w:val="33012411"/>
    <w:rsid w:val="332A1C0B"/>
    <w:rsid w:val="338D024B"/>
    <w:rsid w:val="33A84CB5"/>
    <w:rsid w:val="33BD3812"/>
    <w:rsid w:val="33F25680"/>
    <w:rsid w:val="34012F1B"/>
    <w:rsid w:val="34A50717"/>
    <w:rsid w:val="34D247DE"/>
    <w:rsid w:val="35176DEB"/>
    <w:rsid w:val="35295E2B"/>
    <w:rsid w:val="354632DC"/>
    <w:rsid w:val="35845417"/>
    <w:rsid w:val="35A16281"/>
    <w:rsid w:val="35D9611C"/>
    <w:rsid w:val="36353D93"/>
    <w:rsid w:val="36527A5E"/>
    <w:rsid w:val="3653469B"/>
    <w:rsid w:val="367044DD"/>
    <w:rsid w:val="36726CD6"/>
    <w:rsid w:val="36AB252D"/>
    <w:rsid w:val="36E708B2"/>
    <w:rsid w:val="3760306C"/>
    <w:rsid w:val="377D709D"/>
    <w:rsid w:val="37AD363B"/>
    <w:rsid w:val="383D418F"/>
    <w:rsid w:val="38A66534"/>
    <w:rsid w:val="392370C2"/>
    <w:rsid w:val="3948559F"/>
    <w:rsid w:val="394B310E"/>
    <w:rsid w:val="39626593"/>
    <w:rsid w:val="39774BBA"/>
    <w:rsid w:val="39B70B65"/>
    <w:rsid w:val="39CC701A"/>
    <w:rsid w:val="3A200B5A"/>
    <w:rsid w:val="3ACC2312"/>
    <w:rsid w:val="3ADE5201"/>
    <w:rsid w:val="3AFD443D"/>
    <w:rsid w:val="3B105F35"/>
    <w:rsid w:val="3B924FE2"/>
    <w:rsid w:val="3BE248CC"/>
    <w:rsid w:val="3C1276E7"/>
    <w:rsid w:val="3C554BC7"/>
    <w:rsid w:val="3C594632"/>
    <w:rsid w:val="3C7E313B"/>
    <w:rsid w:val="3C9F7A42"/>
    <w:rsid w:val="3CE833AC"/>
    <w:rsid w:val="3D2B7644"/>
    <w:rsid w:val="3D3F2AA3"/>
    <w:rsid w:val="3D433C14"/>
    <w:rsid w:val="3DBD26C3"/>
    <w:rsid w:val="3E8C3974"/>
    <w:rsid w:val="3EE15C2E"/>
    <w:rsid w:val="3F286E74"/>
    <w:rsid w:val="3F9102A2"/>
    <w:rsid w:val="3F9A1B2B"/>
    <w:rsid w:val="3FE565AB"/>
    <w:rsid w:val="411D07E0"/>
    <w:rsid w:val="415F33FB"/>
    <w:rsid w:val="41A6297E"/>
    <w:rsid w:val="41B42653"/>
    <w:rsid w:val="41E0412F"/>
    <w:rsid w:val="41E952A1"/>
    <w:rsid w:val="42307F53"/>
    <w:rsid w:val="424C60BD"/>
    <w:rsid w:val="428D7B45"/>
    <w:rsid w:val="43414454"/>
    <w:rsid w:val="43D07E22"/>
    <w:rsid w:val="43F065F7"/>
    <w:rsid w:val="44220F37"/>
    <w:rsid w:val="4473505A"/>
    <w:rsid w:val="44DA7953"/>
    <w:rsid w:val="45591BA3"/>
    <w:rsid w:val="45BF5157"/>
    <w:rsid w:val="45C33FBE"/>
    <w:rsid w:val="460B46F9"/>
    <w:rsid w:val="468C6479"/>
    <w:rsid w:val="46956361"/>
    <w:rsid w:val="46D31212"/>
    <w:rsid w:val="46EB783F"/>
    <w:rsid w:val="47237119"/>
    <w:rsid w:val="4753297B"/>
    <w:rsid w:val="47D115CF"/>
    <w:rsid w:val="48375E0C"/>
    <w:rsid w:val="4847168C"/>
    <w:rsid w:val="48693CE6"/>
    <w:rsid w:val="48AB4DA3"/>
    <w:rsid w:val="48B3257C"/>
    <w:rsid w:val="49490E9D"/>
    <w:rsid w:val="4A1D0657"/>
    <w:rsid w:val="4A8A7CBF"/>
    <w:rsid w:val="4A8F50E5"/>
    <w:rsid w:val="4AB46E4D"/>
    <w:rsid w:val="4AB8517C"/>
    <w:rsid w:val="4AED3FCF"/>
    <w:rsid w:val="4B373818"/>
    <w:rsid w:val="4C867628"/>
    <w:rsid w:val="4C9C201B"/>
    <w:rsid w:val="4D0F058A"/>
    <w:rsid w:val="4DC1460F"/>
    <w:rsid w:val="4DE47771"/>
    <w:rsid w:val="4E290762"/>
    <w:rsid w:val="4E3861C8"/>
    <w:rsid w:val="4E9407BC"/>
    <w:rsid w:val="4EE416A2"/>
    <w:rsid w:val="4EFA72B5"/>
    <w:rsid w:val="4F460DD0"/>
    <w:rsid w:val="4F995572"/>
    <w:rsid w:val="4FB530E0"/>
    <w:rsid w:val="4FBD3D43"/>
    <w:rsid w:val="4FE42099"/>
    <w:rsid w:val="500B689E"/>
    <w:rsid w:val="509D6D9E"/>
    <w:rsid w:val="50CA09C5"/>
    <w:rsid w:val="50D903B3"/>
    <w:rsid w:val="50EF3398"/>
    <w:rsid w:val="512C1180"/>
    <w:rsid w:val="518C6424"/>
    <w:rsid w:val="51CE576F"/>
    <w:rsid w:val="51FD31EA"/>
    <w:rsid w:val="520B2058"/>
    <w:rsid w:val="52320A18"/>
    <w:rsid w:val="52375192"/>
    <w:rsid w:val="525C3BB4"/>
    <w:rsid w:val="53433C36"/>
    <w:rsid w:val="534E1F8D"/>
    <w:rsid w:val="534F455C"/>
    <w:rsid w:val="536746F1"/>
    <w:rsid w:val="53915C12"/>
    <w:rsid w:val="53AD48AC"/>
    <w:rsid w:val="53BB5ADE"/>
    <w:rsid w:val="53D10CFA"/>
    <w:rsid w:val="541E44BD"/>
    <w:rsid w:val="54A90B0C"/>
    <w:rsid w:val="54EB455F"/>
    <w:rsid w:val="550348EE"/>
    <w:rsid w:val="5592079D"/>
    <w:rsid w:val="55C70CAD"/>
    <w:rsid w:val="56811F6E"/>
    <w:rsid w:val="56AF23DC"/>
    <w:rsid w:val="56E85DD0"/>
    <w:rsid w:val="57157FBC"/>
    <w:rsid w:val="574D2FD6"/>
    <w:rsid w:val="57D41C62"/>
    <w:rsid w:val="57F40302"/>
    <w:rsid w:val="580A0C02"/>
    <w:rsid w:val="58B103A3"/>
    <w:rsid w:val="5903460D"/>
    <w:rsid w:val="594D7094"/>
    <w:rsid w:val="59585F67"/>
    <w:rsid w:val="59734892"/>
    <w:rsid w:val="59BD6924"/>
    <w:rsid w:val="59C13646"/>
    <w:rsid w:val="59C33D94"/>
    <w:rsid w:val="5A1C1CB8"/>
    <w:rsid w:val="5A902780"/>
    <w:rsid w:val="5AEA491F"/>
    <w:rsid w:val="5B3C6463"/>
    <w:rsid w:val="5B6165E1"/>
    <w:rsid w:val="5B93220C"/>
    <w:rsid w:val="5BA33067"/>
    <w:rsid w:val="5BC06F7C"/>
    <w:rsid w:val="5BD13050"/>
    <w:rsid w:val="5C0436B4"/>
    <w:rsid w:val="5C0A51F9"/>
    <w:rsid w:val="5C191E91"/>
    <w:rsid w:val="5C1F2A4D"/>
    <w:rsid w:val="5C354EED"/>
    <w:rsid w:val="5C404700"/>
    <w:rsid w:val="5C541216"/>
    <w:rsid w:val="5CFF5EBA"/>
    <w:rsid w:val="5D023367"/>
    <w:rsid w:val="5D2112CF"/>
    <w:rsid w:val="5DA04946"/>
    <w:rsid w:val="5E9345EC"/>
    <w:rsid w:val="5EE13FA0"/>
    <w:rsid w:val="5F1D6574"/>
    <w:rsid w:val="5F2A5059"/>
    <w:rsid w:val="5F971791"/>
    <w:rsid w:val="60195AD8"/>
    <w:rsid w:val="602617A1"/>
    <w:rsid w:val="604638E0"/>
    <w:rsid w:val="60E526EF"/>
    <w:rsid w:val="613D5A38"/>
    <w:rsid w:val="61481491"/>
    <w:rsid w:val="616E02FC"/>
    <w:rsid w:val="61BE5E24"/>
    <w:rsid w:val="61FE7911"/>
    <w:rsid w:val="6248047E"/>
    <w:rsid w:val="628E2481"/>
    <w:rsid w:val="62B47227"/>
    <w:rsid w:val="62C02D05"/>
    <w:rsid w:val="631374D4"/>
    <w:rsid w:val="63151411"/>
    <w:rsid w:val="63163A3E"/>
    <w:rsid w:val="6338036A"/>
    <w:rsid w:val="63381C06"/>
    <w:rsid w:val="63AF60CC"/>
    <w:rsid w:val="64434195"/>
    <w:rsid w:val="645A2396"/>
    <w:rsid w:val="64801AB7"/>
    <w:rsid w:val="64990483"/>
    <w:rsid w:val="64B31B61"/>
    <w:rsid w:val="64D23995"/>
    <w:rsid w:val="6545060B"/>
    <w:rsid w:val="65AE7D4C"/>
    <w:rsid w:val="65FB2E0A"/>
    <w:rsid w:val="668C170D"/>
    <w:rsid w:val="66A575B3"/>
    <w:rsid w:val="66E25C2F"/>
    <w:rsid w:val="66E87B83"/>
    <w:rsid w:val="67281F92"/>
    <w:rsid w:val="672A5D0A"/>
    <w:rsid w:val="67745C03"/>
    <w:rsid w:val="677A37EC"/>
    <w:rsid w:val="67E66D09"/>
    <w:rsid w:val="68626146"/>
    <w:rsid w:val="68AC2894"/>
    <w:rsid w:val="68C04C68"/>
    <w:rsid w:val="68E569E6"/>
    <w:rsid w:val="69582774"/>
    <w:rsid w:val="695B664F"/>
    <w:rsid w:val="69A25EC4"/>
    <w:rsid w:val="6A014B48"/>
    <w:rsid w:val="6A5437CA"/>
    <w:rsid w:val="6AB7622A"/>
    <w:rsid w:val="6ABB1DF6"/>
    <w:rsid w:val="6BD218CC"/>
    <w:rsid w:val="6C700663"/>
    <w:rsid w:val="6C7F7764"/>
    <w:rsid w:val="6C9A32DA"/>
    <w:rsid w:val="6CC97031"/>
    <w:rsid w:val="6CFB5919"/>
    <w:rsid w:val="6D3E1842"/>
    <w:rsid w:val="6D5B73B7"/>
    <w:rsid w:val="6D683E15"/>
    <w:rsid w:val="6DA2484C"/>
    <w:rsid w:val="6DDD7C72"/>
    <w:rsid w:val="6E8A044B"/>
    <w:rsid w:val="6EAF1E32"/>
    <w:rsid w:val="6EB70878"/>
    <w:rsid w:val="6EE57DD1"/>
    <w:rsid w:val="6EF05C9F"/>
    <w:rsid w:val="6F29701D"/>
    <w:rsid w:val="6F5307BE"/>
    <w:rsid w:val="6F54058A"/>
    <w:rsid w:val="6F5B01F5"/>
    <w:rsid w:val="7035510A"/>
    <w:rsid w:val="70A50AEE"/>
    <w:rsid w:val="70EA0C63"/>
    <w:rsid w:val="713A4D9B"/>
    <w:rsid w:val="71C57B1C"/>
    <w:rsid w:val="724D014F"/>
    <w:rsid w:val="725D7213"/>
    <w:rsid w:val="72BA2638"/>
    <w:rsid w:val="72E614BD"/>
    <w:rsid w:val="73167647"/>
    <w:rsid w:val="733168AE"/>
    <w:rsid w:val="736757E1"/>
    <w:rsid w:val="73C62D17"/>
    <w:rsid w:val="73D05B9C"/>
    <w:rsid w:val="73D41B04"/>
    <w:rsid w:val="74061B86"/>
    <w:rsid w:val="740E5A19"/>
    <w:rsid w:val="744B720C"/>
    <w:rsid w:val="745F1D89"/>
    <w:rsid w:val="74F44937"/>
    <w:rsid w:val="75502DDF"/>
    <w:rsid w:val="755A4C84"/>
    <w:rsid w:val="7688471E"/>
    <w:rsid w:val="76A90106"/>
    <w:rsid w:val="76E05A03"/>
    <w:rsid w:val="770F6025"/>
    <w:rsid w:val="77405B05"/>
    <w:rsid w:val="775816DB"/>
    <w:rsid w:val="77A919D5"/>
    <w:rsid w:val="786A144C"/>
    <w:rsid w:val="789B621E"/>
    <w:rsid w:val="78E30D91"/>
    <w:rsid w:val="78E42772"/>
    <w:rsid w:val="78E619E6"/>
    <w:rsid w:val="78E71CAD"/>
    <w:rsid w:val="78EA2E87"/>
    <w:rsid w:val="7953377C"/>
    <w:rsid w:val="79882B6F"/>
    <w:rsid w:val="7A654A1E"/>
    <w:rsid w:val="7B1623D5"/>
    <w:rsid w:val="7B4F6B24"/>
    <w:rsid w:val="7B55686C"/>
    <w:rsid w:val="7B5B2D06"/>
    <w:rsid w:val="7BD74EE7"/>
    <w:rsid w:val="7BE829E9"/>
    <w:rsid w:val="7C283197"/>
    <w:rsid w:val="7C605E1C"/>
    <w:rsid w:val="7C6C3A51"/>
    <w:rsid w:val="7CA73C2D"/>
    <w:rsid w:val="7CAA2924"/>
    <w:rsid w:val="7CB93D66"/>
    <w:rsid w:val="7CE41D85"/>
    <w:rsid w:val="7CE57671"/>
    <w:rsid w:val="7D204432"/>
    <w:rsid w:val="7D522506"/>
    <w:rsid w:val="7D6048C5"/>
    <w:rsid w:val="7D751050"/>
    <w:rsid w:val="7D837BCE"/>
    <w:rsid w:val="7DB07FA3"/>
    <w:rsid w:val="7E020104"/>
    <w:rsid w:val="7E0449CE"/>
    <w:rsid w:val="7E3332AB"/>
    <w:rsid w:val="7E660290"/>
    <w:rsid w:val="7E660C3A"/>
    <w:rsid w:val="7E9258BB"/>
    <w:rsid w:val="7ED77C74"/>
    <w:rsid w:val="7EE03426"/>
    <w:rsid w:val="7F0E1C61"/>
    <w:rsid w:val="7F5F44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qFormat="1" w:unhideWhenUsed="0" w:uiPriority="0" w:semiHidden="0"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nhideWhenUsed="0" w:uiPriority="0" w:semiHidden="0" w:name="table of authorities"/>
    <w:lsdException w:uiPriority="99" w:name="macro" w:locked="1"/>
    <w:lsdException w:uiPriority="99" w:name="toa heading" w:locked="1"/>
    <w:lsdException w:unhideWhenUsed="0" w:uiPriority="0" w:semiHidden="0" w:name="List"/>
    <w:lsdException w:unhideWhenUsed="0" w:uiPriority="0"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7"/>
    <w:qFormat/>
    <w:uiPriority w:val="99"/>
    <w:pPr>
      <w:keepNext/>
      <w:keepLines/>
      <w:numPr>
        <w:ilvl w:val="0"/>
        <w:numId w:val="1"/>
      </w:numPr>
      <w:spacing w:before="340" w:after="330" w:line="578" w:lineRule="auto"/>
      <w:jc w:val="center"/>
      <w:outlineLvl w:val="0"/>
    </w:pPr>
    <w:rPr>
      <w:b/>
      <w:kern w:val="44"/>
      <w:sz w:val="36"/>
      <w:szCs w:val="20"/>
    </w:rPr>
  </w:style>
  <w:style w:type="paragraph" w:styleId="5">
    <w:name w:val="heading 2"/>
    <w:basedOn w:val="1"/>
    <w:next w:val="6"/>
    <w:link w:val="38"/>
    <w:qFormat/>
    <w:uiPriority w:val="99"/>
    <w:pPr>
      <w:keepNext/>
      <w:keepLines/>
      <w:numPr>
        <w:ilvl w:val="1"/>
        <w:numId w:val="1"/>
      </w:numPr>
      <w:spacing w:before="260" w:after="260" w:line="415" w:lineRule="auto"/>
      <w:jc w:val="center"/>
      <w:outlineLvl w:val="1"/>
    </w:pPr>
    <w:rPr>
      <w:rFonts w:ascii="CG Times" w:hAnsi="CG Times"/>
      <w:b/>
      <w:sz w:val="30"/>
      <w:szCs w:val="20"/>
    </w:rPr>
  </w:style>
  <w:style w:type="paragraph" w:styleId="7">
    <w:name w:val="heading 3"/>
    <w:basedOn w:val="1"/>
    <w:next w:val="6"/>
    <w:link w:val="39"/>
    <w:qFormat/>
    <w:uiPriority w:val="99"/>
    <w:pPr>
      <w:keepNext/>
      <w:keepLines/>
      <w:numPr>
        <w:ilvl w:val="0"/>
        <w:numId w:val="2"/>
      </w:numPr>
      <w:tabs>
        <w:tab w:val="left" w:pos="5852"/>
      </w:tabs>
      <w:snapToGrid w:val="0"/>
      <w:spacing w:before="360" w:line="240" w:lineRule="exact"/>
      <w:outlineLvl w:val="2"/>
    </w:pPr>
    <w:rPr>
      <w:b/>
      <w:sz w:val="28"/>
      <w:szCs w:val="20"/>
    </w:rPr>
  </w:style>
  <w:style w:type="paragraph" w:styleId="8">
    <w:name w:val="heading 4"/>
    <w:basedOn w:val="1"/>
    <w:next w:val="6"/>
    <w:link w:val="40"/>
    <w:qFormat/>
    <w:uiPriority w:val="99"/>
    <w:pPr>
      <w:keepNext/>
      <w:keepLines/>
      <w:numPr>
        <w:ilvl w:val="0"/>
        <w:numId w:val="3"/>
      </w:numPr>
      <w:spacing w:before="360" w:line="240" w:lineRule="exact"/>
      <w:outlineLvl w:val="3"/>
    </w:pPr>
    <w:rPr>
      <w:rFonts w:ascii="宋体"/>
      <w:b/>
      <w:sz w:val="28"/>
      <w:szCs w:val="20"/>
    </w:rPr>
  </w:style>
  <w:style w:type="paragraph" w:styleId="9">
    <w:name w:val="heading 5"/>
    <w:basedOn w:val="1"/>
    <w:next w:val="6"/>
    <w:link w:val="41"/>
    <w:qFormat/>
    <w:uiPriority w:val="99"/>
    <w:pPr>
      <w:keepNext/>
      <w:keepLines/>
      <w:numPr>
        <w:ilvl w:val="4"/>
        <w:numId w:val="1"/>
      </w:numPr>
      <w:spacing w:before="280" w:after="290" w:line="376" w:lineRule="auto"/>
      <w:outlineLvl w:val="4"/>
    </w:pPr>
    <w:rPr>
      <w:b/>
      <w:sz w:val="28"/>
      <w:szCs w:val="20"/>
    </w:rPr>
  </w:style>
  <w:style w:type="paragraph" w:styleId="10">
    <w:name w:val="heading 6"/>
    <w:basedOn w:val="1"/>
    <w:next w:val="6"/>
    <w:link w:val="42"/>
    <w:qFormat/>
    <w:uiPriority w:val="99"/>
    <w:pPr>
      <w:keepNext/>
      <w:keepLines/>
      <w:numPr>
        <w:ilvl w:val="5"/>
        <w:numId w:val="1"/>
      </w:numPr>
      <w:spacing w:before="240" w:after="64" w:line="320" w:lineRule="auto"/>
      <w:outlineLvl w:val="5"/>
    </w:pPr>
    <w:rPr>
      <w:rFonts w:ascii="Arial" w:hAnsi="Arial" w:eastAsia="黑体"/>
      <w:b/>
      <w:sz w:val="24"/>
      <w:szCs w:val="20"/>
    </w:rPr>
  </w:style>
  <w:style w:type="paragraph" w:styleId="11">
    <w:name w:val="heading 7"/>
    <w:basedOn w:val="1"/>
    <w:next w:val="6"/>
    <w:link w:val="43"/>
    <w:qFormat/>
    <w:uiPriority w:val="99"/>
    <w:pPr>
      <w:keepNext/>
      <w:keepLines/>
      <w:numPr>
        <w:ilvl w:val="6"/>
        <w:numId w:val="1"/>
      </w:numPr>
      <w:spacing w:before="240" w:after="64" w:line="320" w:lineRule="auto"/>
      <w:outlineLvl w:val="6"/>
    </w:pPr>
    <w:rPr>
      <w:b/>
      <w:sz w:val="24"/>
      <w:szCs w:val="20"/>
    </w:rPr>
  </w:style>
  <w:style w:type="paragraph" w:styleId="12">
    <w:name w:val="heading 8"/>
    <w:basedOn w:val="1"/>
    <w:next w:val="6"/>
    <w:link w:val="44"/>
    <w:qFormat/>
    <w:uiPriority w:val="99"/>
    <w:pPr>
      <w:keepNext/>
      <w:keepLines/>
      <w:numPr>
        <w:ilvl w:val="7"/>
        <w:numId w:val="1"/>
      </w:numPr>
      <w:spacing w:before="240" w:after="64" w:line="320" w:lineRule="auto"/>
      <w:outlineLvl w:val="7"/>
    </w:pPr>
    <w:rPr>
      <w:rFonts w:ascii="Arial" w:hAnsi="Arial" w:eastAsia="黑体"/>
      <w:sz w:val="24"/>
      <w:szCs w:val="20"/>
    </w:rPr>
  </w:style>
  <w:style w:type="paragraph" w:styleId="13">
    <w:name w:val="heading 9"/>
    <w:basedOn w:val="1"/>
    <w:next w:val="6"/>
    <w:link w:val="45"/>
    <w:qFormat/>
    <w:uiPriority w:val="99"/>
    <w:pPr>
      <w:keepNext/>
      <w:keepLines/>
      <w:numPr>
        <w:ilvl w:val="8"/>
        <w:numId w:val="1"/>
      </w:numPr>
      <w:spacing w:before="240" w:after="64" w:line="320" w:lineRule="auto"/>
      <w:outlineLvl w:val="8"/>
    </w:pPr>
    <w:rPr>
      <w:rFonts w:ascii="Arial" w:hAnsi="Arial" w:eastAsia="黑体"/>
      <w:szCs w:val="20"/>
    </w:rPr>
  </w:style>
  <w:style w:type="character" w:default="1" w:styleId="32">
    <w:name w:val="Default Paragraph Font"/>
    <w:semiHidden/>
    <w:qFormat/>
    <w:uiPriority w:val="99"/>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tabs>
        <w:tab w:val="left" w:pos="0"/>
        <w:tab w:val="left" w:pos="993"/>
        <w:tab w:val="left" w:pos="1134"/>
      </w:tabs>
      <w:ind w:firstLine="420" w:firstLineChars="200"/>
    </w:pPr>
  </w:style>
  <w:style w:type="paragraph" w:styleId="3">
    <w:name w:val="Body Text Indent"/>
    <w:basedOn w:val="1"/>
    <w:next w:val="1"/>
    <w:link w:val="49"/>
    <w:qFormat/>
    <w:uiPriority w:val="99"/>
    <w:pPr>
      <w:spacing w:after="120"/>
      <w:ind w:left="420" w:leftChars="200"/>
    </w:pPr>
  </w:style>
  <w:style w:type="paragraph" w:styleId="6">
    <w:name w:val="Normal Indent"/>
    <w:basedOn w:val="1"/>
    <w:link w:val="95"/>
    <w:qFormat/>
    <w:uiPriority w:val="99"/>
    <w:pPr>
      <w:ind w:firstLine="420"/>
    </w:pPr>
    <w:rPr>
      <w:szCs w:val="20"/>
    </w:rPr>
  </w:style>
  <w:style w:type="paragraph" w:styleId="14">
    <w:name w:val="Document Map"/>
    <w:basedOn w:val="1"/>
    <w:link w:val="47"/>
    <w:semiHidden/>
    <w:qFormat/>
    <w:uiPriority w:val="99"/>
    <w:pPr>
      <w:shd w:val="clear" w:color="auto" w:fill="000080"/>
    </w:pPr>
  </w:style>
  <w:style w:type="paragraph" w:styleId="15">
    <w:name w:val="annotation text"/>
    <w:basedOn w:val="1"/>
    <w:link w:val="48"/>
    <w:qFormat/>
    <w:uiPriority w:val="99"/>
    <w:pPr>
      <w:jc w:val="left"/>
    </w:pPr>
  </w:style>
  <w:style w:type="paragraph" w:styleId="16">
    <w:name w:val="Body Text"/>
    <w:basedOn w:val="1"/>
    <w:next w:val="1"/>
    <w:link w:val="46"/>
    <w:qFormat/>
    <w:uiPriority w:val="99"/>
    <w:pPr>
      <w:spacing w:line="380" w:lineRule="exact"/>
    </w:pPr>
    <w:rPr>
      <w:sz w:val="24"/>
    </w:rPr>
  </w:style>
  <w:style w:type="paragraph" w:styleId="17">
    <w:name w:val="Plain Text"/>
    <w:basedOn w:val="1"/>
    <w:link w:val="50"/>
    <w:qFormat/>
    <w:uiPriority w:val="99"/>
    <w:rPr>
      <w:rFonts w:ascii="宋体" w:hAnsi="Courier New"/>
      <w:szCs w:val="20"/>
    </w:rPr>
  </w:style>
  <w:style w:type="paragraph" w:styleId="18">
    <w:name w:val="toc 8"/>
    <w:basedOn w:val="1"/>
    <w:next w:val="1"/>
    <w:qFormat/>
    <w:locked/>
    <w:uiPriority w:val="0"/>
    <w:pPr>
      <w:ind w:left="1470"/>
      <w:jc w:val="left"/>
    </w:pPr>
    <w:rPr>
      <w:rFonts w:ascii="Calibri" w:hAnsi="Calibri"/>
      <w:sz w:val="18"/>
      <w:szCs w:val="18"/>
    </w:rPr>
  </w:style>
  <w:style w:type="paragraph" w:styleId="19">
    <w:name w:val="Date"/>
    <w:basedOn w:val="1"/>
    <w:next w:val="1"/>
    <w:link w:val="51"/>
    <w:qFormat/>
    <w:uiPriority w:val="99"/>
    <w:pPr>
      <w:ind w:left="100" w:leftChars="2500"/>
    </w:pPr>
  </w:style>
  <w:style w:type="paragraph" w:styleId="20">
    <w:name w:val="Balloon Text"/>
    <w:basedOn w:val="1"/>
    <w:link w:val="52"/>
    <w:semiHidden/>
    <w:qFormat/>
    <w:uiPriority w:val="99"/>
    <w:rPr>
      <w:sz w:val="18"/>
      <w:szCs w:val="18"/>
    </w:rPr>
  </w:style>
  <w:style w:type="paragraph" w:styleId="21">
    <w:name w:val="footer"/>
    <w:basedOn w:val="1"/>
    <w:link w:val="53"/>
    <w:qFormat/>
    <w:uiPriority w:val="99"/>
    <w:pPr>
      <w:tabs>
        <w:tab w:val="center" w:pos="4153"/>
        <w:tab w:val="right" w:pos="8306"/>
      </w:tabs>
      <w:snapToGrid w:val="0"/>
      <w:jc w:val="left"/>
    </w:pPr>
    <w:rPr>
      <w:sz w:val="18"/>
      <w:szCs w:val="20"/>
    </w:rPr>
  </w:style>
  <w:style w:type="paragraph" w:styleId="22">
    <w:name w:val="header"/>
    <w:basedOn w:val="1"/>
    <w:link w:val="54"/>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1"/>
    <w:next w:val="1"/>
    <w:semiHidden/>
    <w:qFormat/>
    <w:uiPriority w:val="99"/>
  </w:style>
  <w:style w:type="paragraph" w:styleId="24">
    <w:name w:val="toc 2"/>
    <w:basedOn w:val="1"/>
    <w:next w:val="1"/>
    <w:semiHidden/>
    <w:qFormat/>
    <w:uiPriority w:val="99"/>
    <w:pPr>
      <w:ind w:left="420" w:leftChars="200"/>
    </w:pPr>
  </w:style>
  <w:style w:type="paragraph" w:styleId="25">
    <w:name w:val="Body Text 2"/>
    <w:basedOn w:val="1"/>
    <w:link w:val="55"/>
    <w:qFormat/>
    <w:uiPriority w:val="99"/>
    <w:pPr>
      <w:spacing w:after="120" w:line="480" w:lineRule="auto"/>
    </w:p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index 1"/>
    <w:basedOn w:val="1"/>
    <w:next w:val="1"/>
    <w:qFormat/>
    <w:uiPriority w:val="99"/>
    <w:pPr>
      <w:spacing w:line="360" w:lineRule="auto"/>
      <w:ind w:firstLine="354" w:firstLineChars="147"/>
    </w:pPr>
    <w:rPr>
      <w:b/>
      <w:sz w:val="24"/>
    </w:rPr>
  </w:style>
  <w:style w:type="paragraph" w:styleId="28">
    <w:name w:val="annotation subject"/>
    <w:basedOn w:val="15"/>
    <w:next w:val="15"/>
    <w:link w:val="56"/>
    <w:qFormat/>
    <w:uiPriority w:val="99"/>
    <w:rPr>
      <w:b/>
      <w:bCs/>
    </w:rPr>
  </w:style>
  <w:style w:type="paragraph" w:styleId="29">
    <w:name w:val="Body Text First Indent"/>
    <w:basedOn w:val="16"/>
    <w:link w:val="57"/>
    <w:qFormat/>
    <w:uiPriority w:val="99"/>
    <w:pPr>
      <w:spacing w:after="120" w:line="240" w:lineRule="auto"/>
      <w:ind w:firstLine="420" w:firstLineChars="100"/>
    </w:pPr>
    <w:rPr>
      <w:kern w:val="0"/>
      <w:sz w:val="20"/>
    </w:rPr>
  </w:style>
  <w:style w:type="table" w:styleId="31">
    <w:name w:val="Table Grid"/>
    <w:basedOn w:val="3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99"/>
    <w:rPr>
      <w:rFonts w:cs="Times New Roman"/>
      <w:b/>
    </w:rPr>
  </w:style>
  <w:style w:type="character" w:styleId="34">
    <w:name w:val="page number"/>
    <w:basedOn w:val="32"/>
    <w:qFormat/>
    <w:uiPriority w:val="99"/>
    <w:rPr>
      <w:rFonts w:cs="Times New Roman"/>
    </w:rPr>
  </w:style>
  <w:style w:type="character" w:styleId="35">
    <w:name w:val="Hyperlink"/>
    <w:basedOn w:val="32"/>
    <w:qFormat/>
    <w:uiPriority w:val="99"/>
    <w:rPr>
      <w:rFonts w:cs="Times New Roman"/>
      <w:color w:val="0000FF"/>
      <w:u w:val="single"/>
    </w:rPr>
  </w:style>
  <w:style w:type="character" w:styleId="36">
    <w:name w:val="annotation reference"/>
    <w:basedOn w:val="32"/>
    <w:qFormat/>
    <w:uiPriority w:val="99"/>
    <w:rPr>
      <w:rFonts w:cs="Times New Roman"/>
      <w:sz w:val="21"/>
    </w:rPr>
  </w:style>
  <w:style w:type="character" w:customStyle="1" w:styleId="37">
    <w:name w:val="Heading 1 Char"/>
    <w:basedOn w:val="32"/>
    <w:link w:val="4"/>
    <w:qFormat/>
    <w:locked/>
    <w:uiPriority w:val="99"/>
    <w:rPr>
      <w:rFonts w:ascii="Times New Roman" w:hAnsi="Times New Roman" w:eastAsia="宋体"/>
      <w:b/>
      <w:kern w:val="44"/>
      <w:sz w:val="20"/>
    </w:rPr>
  </w:style>
  <w:style w:type="character" w:customStyle="1" w:styleId="38">
    <w:name w:val="Heading 2 Char"/>
    <w:basedOn w:val="32"/>
    <w:link w:val="5"/>
    <w:qFormat/>
    <w:locked/>
    <w:uiPriority w:val="99"/>
    <w:rPr>
      <w:rFonts w:ascii="CG Times" w:hAnsi="CG Times" w:eastAsia="宋体"/>
      <w:b/>
      <w:kern w:val="2"/>
      <w:sz w:val="30"/>
    </w:rPr>
  </w:style>
  <w:style w:type="character" w:customStyle="1" w:styleId="39">
    <w:name w:val="Heading 3 Char"/>
    <w:basedOn w:val="32"/>
    <w:link w:val="7"/>
    <w:semiHidden/>
    <w:qFormat/>
    <w:uiPriority w:val="9"/>
    <w:rPr>
      <w:b/>
      <w:bCs/>
      <w:sz w:val="32"/>
      <w:szCs w:val="32"/>
    </w:rPr>
  </w:style>
  <w:style w:type="character" w:customStyle="1" w:styleId="40">
    <w:name w:val="Heading 4 Char"/>
    <w:basedOn w:val="32"/>
    <w:link w:val="8"/>
    <w:semiHidden/>
    <w:qFormat/>
    <w:uiPriority w:val="9"/>
    <w:rPr>
      <w:rFonts w:asciiTheme="majorHAnsi" w:hAnsiTheme="majorHAnsi" w:eastAsiaTheme="majorEastAsia" w:cstheme="majorBidi"/>
      <w:b/>
      <w:bCs/>
      <w:sz w:val="28"/>
      <w:szCs w:val="28"/>
    </w:rPr>
  </w:style>
  <w:style w:type="character" w:customStyle="1" w:styleId="41">
    <w:name w:val="Heading 5 Char"/>
    <w:basedOn w:val="32"/>
    <w:link w:val="9"/>
    <w:semiHidden/>
    <w:qFormat/>
    <w:uiPriority w:val="9"/>
    <w:rPr>
      <w:b/>
      <w:bCs/>
      <w:sz w:val="28"/>
      <w:szCs w:val="28"/>
    </w:rPr>
  </w:style>
  <w:style w:type="character" w:customStyle="1" w:styleId="42">
    <w:name w:val="Heading 6 Char"/>
    <w:basedOn w:val="32"/>
    <w:link w:val="10"/>
    <w:semiHidden/>
    <w:qFormat/>
    <w:uiPriority w:val="9"/>
    <w:rPr>
      <w:rFonts w:asciiTheme="majorHAnsi" w:hAnsiTheme="majorHAnsi" w:eastAsiaTheme="majorEastAsia" w:cstheme="majorBidi"/>
      <w:b/>
      <w:bCs/>
      <w:sz w:val="24"/>
      <w:szCs w:val="24"/>
    </w:rPr>
  </w:style>
  <w:style w:type="character" w:customStyle="1" w:styleId="43">
    <w:name w:val="Heading 7 Char"/>
    <w:basedOn w:val="32"/>
    <w:link w:val="11"/>
    <w:semiHidden/>
    <w:qFormat/>
    <w:uiPriority w:val="9"/>
    <w:rPr>
      <w:b/>
      <w:bCs/>
      <w:sz w:val="24"/>
      <w:szCs w:val="24"/>
    </w:rPr>
  </w:style>
  <w:style w:type="character" w:customStyle="1" w:styleId="44">
    <w:name w:val="Heading 8 Char"/>
    <w:basedOn w:val="32"/>
    <w:link w:val="12"/>
    <w:semiHidden/>
    <w:qFormat/>
    <w:uiPriority w:val="9"/>
    <w:rPr>
      <w:rFonts w:asciiTheme="majorHAnsi" w:hAnsiTheme="majorHAnsi" w:eastAsiaTheme="majorEastAsia" w:cstheme="majorBidi"/>
      <w:sz w:val="24"/>
      <w:szCs w:val="24"/>
    </w:rPr>
  </w:style>
  <w:style w:type="character" w:customStyle="1" w:styleId="45">
    <w:name w:val="Heading 9 Char"/>
    <w:basedOn w:val="32"/>
    <w:link w:val="13"/>
    <w:semiHidden/>
    <w:qFormat/>
    <w:uiPriority w:val="9"/>
    <w:rPr>
      <w:rFonts w:asciiTheme="majorHAnsi" w:hAnsiTheme="majorHAnsi" w:eastAsiaTheme="majorEastAsia" w:cstheme="majorBidi"/>
      <w:szCs w:val="21"/>
    </w:rPr>
  </w:style>
  <w:style w:type="character" w:customStyle="1" w:styleId="46">
    <w:name w:val="Body Text Char"/>
    <w:basedOn w:val="32"/>
    <w:link w:val="16"/>
    <w:semiHidden/>
    <w:qFormat/>
    <w:uiPriority w:val="99"/>
    <w:rPr>
      <w:szCs w:val="24"/>
    </w:rPr>
  </w:style>
  <w:style w:type="character" w:customStyle="1" w:styleId="47">
    <w:name w:val="Document Map Char"/>
    <w:basedOn w:val="32"/>
    <w:link w:val="14"/>
    <w:semiHidden/>
    <w:qFormat/>
    <w:uiPriority w:val="99"/>
    <w:rPr>
      <w:sz w:val="0"/>
      <w:szCs w:val="0"/>
    </w:rPr>
  </w:style>
  <w:style w:type="character" w:customStyle="1" w:styleId="48">
    <w:name w:val="Comment Text Char"/>
    <w:basedOn w:val="32"/>
    <w:link w:val="15"/>
    <w:qFormat/>
    <w:locked/>
    <w:uiPriority w:val="99"/>
    <w:rPr>
      <w:kern w:val="2"/>
      <w:sz w:val="24"/>
    </w:rPr>
  </w:style>
  <w:style w:type="character" w:customStyle="1" w:styleId="49">
    <w:name w:val="Body Text Indent Char"/>
    <w:basedOn w:val="32"/>
    <w:link w:val="3"/>
    <w:semiHidden/>
    <w:qFormat/>
    <w:uiPriority w:val="99"/>
    <w:rPr>
      <w:szCs w:val="24"/>
    </w:rPr>
  </w:style>
  <w:style w:type="character" w:customStyle="1" w:styleId="50">
    <w:name w:val="Plain Text Char"/>
    <w:basedOn w:val="32"/>
    <w:link w:val="17"/>
    <w:qFormat/>
    <w:locked/>
    <w:uiPriority w:val="99"/>
    <w:rPr>
      <w:rFonts w:ascii="宋体" w:hAnsi="Courier New" w:eastAsia="宋体"/>
      <w:kern w:val="2"/>
      <w:sz w:val="21"/>
      <w:lang w:val="en-US" w:eastAsia="zh-CN"/>
    </w:rPr>
  </w:style>
  <w:style w:type="character" w:customStyle="1" w:styleId="51">
    <w:name w:val="Date Char"/>
    <w:basedOn w:val="32"/>
    <w:link w:val="19"/>
    <w:semiHidden/>
    <w:qFormat/>
    <w:uiPriority w:val="99"/>
    <w:rPr>
      <w:szCs w:val="24"/>
    </w:rPr>
  </w:style>
  <w:style w:type="character" w:customStyle="1" w:styleId="52">
    <w:name w:val="Balloon Text Char"/>
    <w:basedOn w:val="32"/>
    <w:link w:val="20"/>
    <w:semiHidden/>
    <w:qFormat/>
    <w:uiPriority w:val="99"/>
    <w:rPr>
      <w:sz w:val="0"/>
      <w:szCs w:val="0"/>
    </w:rPr>
  </w:style>
  <w:style w:type="character" w:customStyle="1" w:styleId="53">
    <w:name w:val="Footer Char"/>
    <w:basedOn w:val="32"/>
    <w:link w:val="21"/>
    <w:semiHidden/>
    <w:qFormat/>
    <w:uiPriority w:val="99"/>
    <w:rPr>
      <w:sz w:val="18"/>
      <w:szCs w:val="18"/>
    </w:rPr>
  </w:style>
  <w:style w:type="character" w:customStyle="1" w:styleId="54">
    <w:name w:val="Header Char"/>
    <w:basedOn w:val="32"/>
    <w:link w:val="22"/>
    <w:semiHidden/>
    <w:qFormat/>
    <w:uiPriority w:val="99"/>
    <w:rPr>
      <w:sz w:val="18"/>
      <w:szCs w:val="18"/>
    </w:rPr>
  </w:style>
  <w:style w:type="character" w:customStyle="1" w:styleId="55">
    <w:name w:val="Body Text 2 Char"/>
    <w:basedOn w:val="32"/>
    <w:link w:val="25"/>
    <w:qFormat/>
    <w:locked/>
    <w:uiPriority w:val="99"/>
    <w:rPr>
      <w:rFonts w:eastAsia="宋体"/>
      <w:kern w:val="2"/>
      <w:sz w:val="24"/>
      <w:lang w:val="en-US" w:eastAsia="zh-CN"/>
    </w:rPr>
  </w:style>
  <w:style w:type="character" w:customStyle="1" w:styleId="56">
    <w:name w:val="Comment Subject Char"/>
    <w:basedOn w:val="48"/>
    <w:link w:val="28"/>
    <w:qFormat/>
    <w:locked/>
    <w:uiPriority w:val="99"/>
    <w:rPr>
      <w:b/>
    </w:rPr>
  </w:style>
  <w:style w:type="character" w:customStyle="1" w:styleId="57">
    <w:name w:val="Body Text First Indent Char"/>
    <w:basedOn w:val="46"/>
    <w:link w:val="29"/>
    <w:semiHidden/>
    <w:qFormat/>
    <w:uiPriority w:val="99"/>
  </w:style>
  <w:style w:type="paragraph" w:customStyle="1" w:styleId="58">
    <w:name w:val="xl78"/>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59">
    <w:name w:val="标3"/>
    <w:basedOn w:val="1"/>
    <w:qFormat/>
    <w:uiPriority w:val="99"/>
    <w:pPr>
      <w:numPr>
        <w:ilvl w:val="2"/>
        <w:numId w:val="4"/>
      </w:numPr>
      <w:adjustRightInd w:val="0"/>
      <w:snapToGrid w:val="0"/>
      <w:spacing w:before="50"/>
      <w:outlineLvl w:val="2"/>
    </w:pPr>
    <w:rPr>
      <w:rFonts w:ascii="Arial Narrow" w:hAnsi="Arial Narrow" w:eastAsia="仿宋_GB2312"/>
      <w:sz w:val="28"/>
      <w:szCs w:val="20"/>
    </w:rPr>
  </w:style>
  <w:style w:type="paragraph" w:customStyle="1" w:styleId="60">
    <w:name w:val="xl29"/>
    <w:basedOn w:val="1"/>
    <w:qFormat/>
    <w:uiPriority w:val="99"/>
    <w:pPr>
      <w:widowControl/>
      <w:spacing w:before="100" w:beforeAutospacing="1" w:after="100" w:afterAutospacing="1"/>
      <w:jc w:val="center"/>
    </w:pPr>
    <w:rPr>
      <w:rFonts w:ascii="宋体" w:hAnsi="宋体"/>
      <w:kern w:val="0"/>
      <w:sz w:val="28"/>
      <w:szCs w:val="28"/>
    </w:rPr>
  </w:style>
  <w:style w:type="paragraph" w:customStyle="1" w:styleId="61">
    <w:name w:val="Char1"/>
    <w:basedOn w:val="1"/>
    <w:qFormat/>
    <w:uiPriority w:val="99"/>
    <w:rPr>
      <w:rFonts w:ascii="Tahoma" w:hAnsi="Tahoma"/>
      <w:sz w:val="24"/>
      <w:szCs w:val="20"/>
    </w:rPr>
  </w:style>
  <w:style w:type="paragraph" w:customStyle="1" w:styleId="62">
    <w:name w:val="正文0"/>
    <w:basedOn w:val="1"/>
    <w:qFormat/>
    <w:uiPriority w:val="99"/>
    <w:pPr>
      <w:autoSpaceDE w:val="0"/>
      <w:autoSpaceDN w:val="0"/>
      <w:adjustRightInd w:val="0"/>
      <w:spacing w:before="240" w:after="60" w:line="360" w:lineRule="atLeast"/>
    </w:pPr>
    <w:rPr>
      <w:b/>
      <w:kern w:val="0"/>
      <w:sz w:val="24"/>
      <w:szCs w:val="20"/>
    </w:rPr>
  </w:style>
  <w:style w:type="paragraph" w:customStyle="1" w:styleId="63">
    <w:name w:val="xl65"/>
    <w:basedOn w:val="1"/>
    <w:qFormat/>
    <w:uiPriority w:val="99"/>
    <w:pPr>
      <w:widowControl/>
      <w:spacing w:before="100" w:beforeAutospacing="1" w:after="100" w:afterAutospacing="1"/>
      <w:jc w:val="left"/>
    </w:pPr>
    <w:rPr>
      <w:rFonts w:ascii="宋体" w:hAnsi="宋体" w:cs="宋体"/>
      <w:kern w:val="0"/>
      <w:sz w:val="24"/>
    </w:rPr>
  </w:style>
  <w:style w:type="paragraph" w:customStyle="1" w:styleId="6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5">
    <w:name w:val="xl63"/>
    <w:basedOn w:val="1"/>
    <w:qFormat/>
    <w:uiPriority w:val="99"/>
    <w:pPr>
      <w:widowControl/>
      <w:spacing w:before="100" w:beforeAutospacing="1" w:after="100" w:afterAutospacing="1"/>
      <w:jc w:val="left"/>
    </w:pPr>
    <w:rPr>
      <w:rFonts w:ascii="宋体" w:hAnsi="宋体" w:cs="宋体"/>
      <w:b/>
      <w:bCs/>
      <w:kern w:val="0"/>
      <w:sz w:val="24"/>
    </w:rPr>
  </w:style>
  <w:style w:type="paragraph" w:customStyle="1" w:styleId="6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
    <w:name w:val="xl81"/>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6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9">
    <w:name w:val="Char Char Char Char Char Char Char"/>
    <w:basedOn w:val="1"/>
    <w:qFormat/>
    <w:uiPriority w:val="99"/>
    <w:rPr>
      <w:rFonts w:ascii="仿宋_GB2312" w:eastAsia="仿宋_GB2312"/>
      <w:b/>
      <w:sz w:val="32"/>
      <w:szCs w:val="32"/>
    </w:rPr>
  </w:style>
  <w:style w:type="paragraph" w:customStyle="1" w:styleId="70">
    <w:name w:val="Default"/>
    <w:qFormat/>
    <w:uiPriority w:val="99"/>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71">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2">
    <w:name w:val="xl83"/>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3">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4">
    <w:name w:val="xl80"/>
    <w:basedOn w:val="1"/>
    <w:qFormat/>
    <w:uiPriority w:val="99"/>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7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7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7">
    <w:name w:val="Char"/>
    <w:basedOn w:val="1"/>
    <w:qFormat/>
    <w:uiPriority w:val="99"/>
    <w:rPr>
      <w:rFonts w:ascii="Tahoma" w:hAnsi="Tahoma"/>
      <w:sz w:val="24"/>
      <w:szCs w:val="20"/>
    </w:rPr>
  </w:style>
  <w:style w:type="paragraph" w:customStyle="1" w:styleId="78">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9">
    <w:name w:val="xl79"/>
    <w:basedOn w:val="1"/>
    <w:qFormat/>
    <w:uiPriority w:val="99"/>
    <w:pPr>
      <w:widowControl/>
      <w:pBdr>
        <w:top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80">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2">
    <w:name w:val="xl82"/>
    <w:basedOn w:val="1"/>
    <w:qFormat/>
    <w:uiPriority w:val="99"/>
    <w:pPr>
      <w:widowControl/>
      <w:pBdr>
        <w:bottom w:val="single" w:color="auto" w:sz="4" w:space="0"/>
      </w:pBdr>
      <w:spacing w:before="100" w:beforeAutospacing="1" w:after="100" w:afterAutospacing="1"/>
      <w:jc w:val="left"/>
    </w:pPr>
    <w:rPr>
      <w:rFonts w:ascii="宋体" w:hAnsi="宋体" w:cs="宋体"/>
      <w:kern w:val="0"/>
      <w:sz w:val="24"/>
    </w:rPr>
  </w:style>
  <w:style w:type="paragraph" w:customStyle="1" w:styleId="83">
    <w:name w:val="Default Paragraph Font Para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84">
    <w:name w:val="正文2"/>
    <w:basedOn w:val="1"/>
    <w:qFormat/>
    <w:uiPriority w:val="99"/>
    <w:pPr>
      <w:spacing w:before="156" w:line="360" w:lineRule="auto"/>
      <w:ind w:firstLine="510"/>
    </w:pPr>
    <w:rPr>
      <w:color w:val="000000"/>
      <w:kern w:val="1"/>
      <w:sz w:val="24"/>
    </w:rPr>
  </w:style>
  <w:style w:type="paragraph" w:customStyle="1" w:styleId="85">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87">
    <w:name w:val="纯文本_5"/>
    <w:basedOn w:val="1"/>
    <w:qFormat/>
    <w:uiPriority w:val="99"/>
    <w:rPr>
      <w:rFonts w:ascii="宋体" w:hAnsi="Courier New"/>
      <w:szCs w:val="20"/>
    </w:rPr>
  </w:style>
  <w:style w:type="paragraph" w:customStyle="1" w:styleId="88">
    <w:name w:val="样式1"/>
    <w:basedOn w:val="4"/>
    <w:qFormat/>
    <w:uiPriority w:val="99"/>
    <w:pPr>
      <w:spacing w:line="240" w:lineRule="atLeast"/>
    </w:pPr>
    <w:rPr>
      <w:b w:val="0"/>
    </w:rPr>
  </w:style>
  <w:style w:type="paragraph" w:customStyle="1" w:styleId="89">
    <w:name w:val="Char Char Char Char Char Char Char Char Char Char"/>
    <w:basedOn w:val="1"/>
    <w:qFormat/>
    <w:uiPriority w:val="99"/>
    <w:pPr>
      <w:adjustRightInd w:val="0"/>
      <w:spacing w:line="360" w:lineRule="auto"/>
    </w:pPr>
    <w:rPr>
      <w:kern w:val="0"/>
      <w:sz w:val="24"/>
      <w:szCs w:val="20"/>
    </w:rPr>
  </w:style>
  <w:style w:type="paragraph" w:customStyle="1" w:styleId="90">
    <w:name w:val="正文3"/>
    <w:basedOn w:val="1"/>
    <w:link w:val="94"/>
    <w:qFormat/>
    <w:uiPriority w:val="99"/>
    <w:pPr>
      <w:spacing w:line="360" w:lineRule="auto"/>
      <w:ind w:firstLine="200" w:firstLineChars="200"/>
    </w:pPr>
    <w:rPr>
      <w:sz w:val="24"/>
    </w:rPr>
  </w:style>
  <w:style w:type="paragraph" w:customStyle="1" w:styleId="91">
    <w:name w:val="样式3"/>
    <w:basedOn w:val="17"/>
    <w:qFormat/>
    <w:uiPriority w:val="99"/>
    <w:pPr>
      <w:spacing w:line="240" w:lineRule="atLeast"/>
      <w:outlineLvl w:val="0"/>
    </w:pPr>
    <w:rPr>
      <w:sz w:val="28"/>
    </w:rPr>
  </w:style>
  <w:style w:type="paragraph" w:customStyle="1" w:styleId="92">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93">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94">
    <w:name w:val="正文3 Char"/>
    <w:link w:val="90"/>
    <w:qFormat/>
    <w:locked/>
    <w:uiPriority w:val="99"/>
    <w:rPr>
      <w:kern w:val="2"/>
      <w:sz w:val="24"/>
    </w:rPr>
  </w:style>
  <w:style w:type="character" w:customStyle="1" w:styleId="95">
    <w:name w:val="Normal Indent Char"/>
    <w:link w:val="6"/>
    <w:qFormat/>
    <w:locked/>
    <w:uiPriority w:val="99"/>
    <w:rPr>
      <w:rFonts w:eastAsia="宋体"/>
      <w:kern w:val="2"/>
      <w:sz w:val="21"/>
      <w:lang w:val="en-US" w:eastAsia="zh-CN"/>
    </w:rPr>
  </w:style>
  <w:style w:type="character" w:customStyle="1" w:styleId="96">
    <w:name w:val="apple-converted-space"/>
    <w:qFormat/>
    <w:uiPriority w:val="99"/>
  </w:style>
  <w:style w:type="character" w:customStyle="1" w:styleId="97">
    <w:name w:val="Char Char"/>
    <w:qFormat/>
    <w:uiPriority w:val="99"/>
    <w:rPr>
      <w:rFonts w:ascii="宋体" w:hAnsi="Courier New" w:eastAsia="宋体"/>
      <w:kern w:val="2"/>
      <w:sz w:val="21"/>
      <w:lang w:val="en-US" w:eastAsia="zh-CN"/>
    </w:rPr>
  </w:style>
  <w:style w:type="character" w:customStyle="1" w:styleId="98">
    <w:name w:val="font11"/>
    <w:basedOn w:val="32"/>
    <w:qFormat/>
    <w:uiPriority w:val="99"/>
    <w:rPr>
      <w:rFonts w:ascii="Arial Unicode MS" w:hAnsi="Arial Unicode MS" w:eastAsia="Times New Roman" w:cs="Arial Unicode MS"/>
      <w:color w:val="000000"/>
      <w:sz w:val="22"/>
      <w:szCs w:val="22"/>
      <w:u w:val="none"/>
    </w:rPr>
  </w:style>
  <w:style w:type="character" w:customStyle="1" w:styleId="99">
    <w:name w:val="font31"/>
    <w:basedOn w:val="32"/>
    <w:qFormat/>
    <w:uiPriority w:val="99"/>
    <w:rPr>
      <w:rFonts w:ascii="宋体" w:hAnsi="宋体" w:eastAsia="宋体" w:cs="宋体"/>
      <w:color w:val="000000"/>
      <w:sz w:val="22"/>
      <w:szCs w:val="22"/>
      <w:u w:val="none"/>
    </w:rPr>
  </w:style>
  <w:style w:type="paragraph" w:styleId="100">
    <w:name w:val="List Paragraph"/>
    <w:basedOn w:val="1"/>
    <w:qFormat/>
    <w:uiPriority w:val="99"/>
    <w:pPr>
      <w:ind w:firstLine="420" w:firstLineChars="200"/>
    </w:pPr>
  </w:style>
  <w:style w:type="character" w:customStyle="1" w:styleId="101">
    <w:name w:val="font41"/>
    <w:basedOn w:val="32"/>
    <w:qFormat/>
    <w:uiPriority w:val="99"/>
    <w:rPr>
      <w:rFonts w:ascii="Times New Roman" w:hAnsi="Times New Roman" w:cs="Times New Roman"/>
      <w:color w:val="000000"/>
      <w:sz w:val="22"/>
      <w:szCs w:val="22"/>
      <w:u w:val="none"/>
    </w:rPr>
  </w:style>
  <w:style w:type="character" w:customStyle="1" w:styleId="102">
    <w:name w:val="font71"/>
    <w:basedOn w:val="32"/>
    <w:qFormat/>
    <w:uiPriority w:val="0"/>
    <w:rPr>
      <w:rFonts w:hint="eastAsia" w:ascii="宋体" w:hAnsi="宋体" w:eastAsia="宋体" w:cs="宋体"/>
      <w:color w:val="000000"/>
      <w:sz w:val="20"/>
      <w:szCs w:val="20"/>
      <w:u w:val="none"/>
    </w:rPr>
  </w:style>
  <w:style w:type="character" w:customStyle="1" w:styleId="103">
    <w:name w:val="font61"/>
    <w:basedOn w:val="32"/>
    <w:qFormat/>
    <w:uiPriority w:val="0"/>
    <w:rPr>
      <w:rFonts w:hint="eastAsia" w:ascii="宋体" w:hAnsi="宋体" w:eastAsia="宋体" w:cs="宋体"/>
      <w:color w:val="000000"/>
      <w:sz w:val="20"/>
      <w:szCs w:val="20"/>
      <w:u w:val="none"/>
    </w:rPr>
  </w:style>
  <w:style w:type="character" w:customStyle="1" w:styleId="104">
    <w:name w:val="font101"/>
    <w:basedOn w:val="32"/>
    <w:qFormat/>
    <w:uiPriority w:val="0"/>
    <w:rPr>
      <w:rFonts w:hint="eastAsia" w:ascii="宋体" w:hAnsi="宋体" w:eastAsia="宋体" w:cs="宋体"/>
      <w:color w:val="000000"/>
      <w:sz w:val="20"/>
      <w:szCs w:val="20"/>
      <w:u w:val="none"/>
    </w:rPr>
  </w:style>
  <w:style w:type="character" w:customStyle="1" w:styleId="105">
    <w:name w:val="font51"/>
    <w:qFormat/>
    <w:uiPriority w:val="0"/>
    <w:rPr>
      <w:rFonts w:hint="eastAsia" w:ascii="宋体" w:hAnsi="宋体" w:eastAsia="宋体" w:cs="宋体"/>
      <w:color w:val="000000"/>
      <w:sz w:val="20"/>
      <w:szCs w:val="20"/>
      <w:u w:val="none"/>
    </w:rPr>
  </w:style>
  <w:style w:type="paragraph" w:customStyle="1" w:styleId="106">
    <w:name w:val="标题 2_1"/>
    <w:basedOn w:val="107"/>
    <w:next w:val="107"/>
    <w:unhideWhenUsed/>
    <w:qFormat/>
    <w:uiPriority w:val="0"/>
    <w:pPr>
      <w:keepNext/>
      <w:keepLines/>
      <w:spacing w:before="260" w:after="260" w:line="416" w:lineRule="auto"/>
      <w:outlineLvl w:val="1"/>
    </w:pPr>
    <w:rPr>
      <w:rFonts w:ascii="Cambria" w:hAnsi="Cambria" w:eastAsia="宋体"/>
      <w:b/>
      <w:bCs/>
      <w:sz w:val="32"/>
      <w:szCs w:val="32"/>
    </w:rPr>
  </w:style>
  <w:style w:type="paragraph" w:customStyle="1" w:styleId="10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Body text|3"/>
    <w:basedOn w:val="1"/>
    <w:qFormat/>
    <w:uiPriority w:val="0"/>
    <w:pPr>
      <w:widowControl w:val="0"/>
      <w:shd w:val="clear" w:color="auto" w:fill="auto"/>
      <w:spacing w:after="480" w:line="341" w:lineRule="auto"/>
      <w:ind w:firstLine="180"/>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81</Pages>
  <Words>32485</Words>
  <Characters>40026</Characters>
  <Lines>0</Lines>
  <Paragraphs>0</Paragraphs>
  <TotalTime>14</TotalTime>
  <ScaleCrop>false</ScaleCrop>
  <LinksUpToDate>false</LinksUpToDate>
  <CharactersWithSpaces>41835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2020-08-19T03:33:00Z</dcterms:created>
  <dc:creator>yanjun</dc:creator>
  <cp:lastModifiedBy>傍晚那一米霞光</cp:lastModifiedBy>
  <cp:lastPrinted>2022-04-29T07:32:00Z</cp:lastPrinted>
  <dcterms:modified xsi:type="dcterms:W3CDTF">2022-11-18T07:26:57Z</dcterms:modified>
  <dc:title>政府采购招标文件 (2006版) （修改1稿）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2FDFDF05058848C4B4EFE2BD2D1D73C5</vt:lpwstr>
  </property>
  <property fmtid="{D5CDD505-2E9C-101B-9397-08002B2CF9AE}" pid="4" name="commondata">
    <vt:lpwstr>eyJoZGlkIjoiNTRjZWMxNTBlYjc2NzZiMjY1MDE5Mzc0ZDgxMTgzOTcifQ==</vt:lpwstr>
  </property>
</Properties>
</file>